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23BC6F7C" w14:textId="77777777" w:rsidR="00914D90" w:rsidRPr="00914D90" w:rsidRDefault="00914D90" w:rsidP="00914D90">
      <w:pPr>
        <w:spacing w:after="0"/>
        <w:jc w:val="center"/>
        <w:rPr>
          <w:rFonts w:ascii="Times New Roman" w:hAnsi="Times New Roman"/>
          <w:b/>
          <w:bCs/>
          <w:sz w:val="28"/>
          <w:szCs w:val="28"/>
          <w:lang w:val="en-US"/>
        </w:rPr>
      </w:pPr>
      <w:r w:rsidRPr="00914D90">
        <w:rPr>
          <w:rFonts w:ascii="Times New Roman" w:hAnsi="Times New Roman"/>
          <w:b/>
          <w:bCs/>
          <w:sz w:val="28"/>
          <w:szCs w:val="28"/>
          <w:lang w:val="en-US"/>
        </w:rPr>
        <w:t>Criteria</w:t>
      </w:r>
    </w:p>
    <w:p w14:paraId="0F0DA2F2" w14:textId="77777777" w:rsidR="00914D90" w:rsidRPr="00914D90" w:rsidRDefault="00914D90" w:rsidP="00914D90">
      <w:pPr>
        <w:spacing w:after="0"/>
        <w:jc w:val="center"/>
        <w:rPr>
          <w:rFonts w:ascii="Times New Roman" w:hAnsi="Times New Roman"/>
          <w:sz w:val="28"/>
          <w:szCs w:val="28"/>
          <w:lang w:val="en-US"/>
        </w:rPr>
      </w:pPr>
      <w:r w:rsidRPr="00914D90">
        <w:rPr>
          <w:rFonts w:ascii="Times New Roman" w:hAnsi="Times New Roman"/>
          <w:sz w:val="28"/>
          <w:szCs w:val="28"/>
          <w:lang w:val="en-US"/>
        </w:rPr>
        <w:t>for selecting service providers</w:t>
      </w:r>
    </w:p>
    <w:p w14:paraId="1930C88D" w14:textId="77777777" w:rsidR="00914D90" w:rsidRPr="00914D90" w:rsidRDefault="00914D90" w:rsidP="00914D90">
      <w:pPr>
        <w:spacing w:after="0"/>
        <w:jc w:val="both"/>
        <w:rPr>
          <w:rFonts w:ascii="Times New Roman" w:hAnsi="Times New Roman"/>
          <w:sz w:val="28"/>
          <w:szCs w:val="28"/>
          <w:lang w:val="en-US"/>
        </w:rPr>
      </w:pPr>
      <w:r w:rsidRPr="00914D90">
        <w:rPr>
          <w:rFonts w:ascii="Times New Roman" w:hAnsi="Times New Roman"/>
          <w:sz w:val="28"/>
          <w:szCs w:val="28"/>
          <w:lang w:val="en-US"/>
        </w:rPr>
        <w:t>to provide services for conducting inspections / reconciliations of documentation during competitive procedures, inspections of the submitted documentation for consideration by the National Assembly and the OSU for compliance with the requirements of the legislation and the GNI of the Partnership, reporting on the direction of the department's activities to State bodies and participants of the Partnership.</w:t>
      </w:r>
    </w:p>
    <w:p w14:paraId="7F8A8A42" w14:textId="1CC79F47" w:rsidR="00914D90" w:rsidRDefault="00914D90" w:rsidP="00914D90">
      <w:pPr>
        <w:rPr>
          <w:rFonts w:ascii="Times New Roman" w:hAnsi="Times New Roman"/>
          <w:sz w:val="28"/>
          <w:szCs w:val="28"/>
          <w:lang w:val="en-US"/>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7D48BB"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08A95B17"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Experience in the labor market in the uranium industry – not required</w:t>
            </w:r>
          </w:p>
        </w:tc>
      </w:tr>
      <w:tr w:rsidR="00914D90" w:rsidRPr="007D48BB"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331E605A"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Work experience in relation to the direction of the service – 2 years</w:t>
            </w:r>
          </w:p>
        </w:tc>
      </w:tr>
      <w:tr w:rsidR="00914D90" w:rsidRPr="007D48BB" w14:paraId="3550BE72" w14:textId="77777777" w:rsidTr="004857B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640F2D7B" w14:textId="00A04300"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Availability of supporting documents of education, in relation to services – higher legal education</w:t>
            </w:r>
          </w:p>
        </w:tc>
      </w:tr>
      <w:tr w:rsidR="00914D90" w:rsidRPr="007D48BB"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0D2FF610"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The availability of appropriate certificates, in relation to services – is not required</w:t>
            </w:r>
          </w:p>
        </w:tc>
      </w:tr>
    </w:tbl>
    <w:p w14:paraId="0E204534" w14:textId="77777777" w:rsidR="00914D90" w:rsidRPr="00914D90" w:rsidRDefault="00914D90" w:rsidP="00914D90">
      <w:pPr>
        <w:rPr>
          <w:rFonts w:ascii="Times New Roman" w:hAnsi="Times New Roman"/>
          <w:sz w:val="28"/>
          <w:szCs w:val="28"/>
          <w:lang w:val="en-US"/>
        </w:rPr>
      </w:pPr>
    </w:p>
    <w:p w14:paraId="512AF600" w14:textId="070BA254"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Note. The candidate is evaluated according to the criteria.</w:t>
      </w:r>
    </w:p>
    <w:sectPr w:rsidR="00914D90" w:rsidRPr="00914D90"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975183219">
    <w:abstractNumId w:val="4"/>
  </w:num>
  <w:num w:numId="2" w16cid:durableId="1078403992">
    <w:abstractNumId w:val="2"/>
  </w:num>
  <w:num w:numId="3" w16cid:durableId="1234046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6"/>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A7B37"/>
    <w:rsid w:val="001F7467"/>
    <w:rsid w:val="002342D3"/>
    <w:rsid w:val="0046085D"/>
    <w:rsid w:val="004C0C1B"/>
    <w:rsid w:val="005C6DD6"/>
    <w:rsid w:val="006E6D29"/>
    <w:rsid w:val="00730165"/>
    <w:rsid w:val="007D48BB"/>
    <w:rsid w:val="00882591"/>
    <w:rsid w:val="008837F0"/>
    <w:rsid w:val="008B7D05"/>
    <w:rsid w:val="008E1384"/>
    <w:rsid w:val="00914D90"/>
    <w:rsid w:val="00B45249"/>
    <w:rsid w:val="00B458D7"/>
    <w:rsid w:val="00C61974"/>
    <w:rsid w:val="00C77DF9"/>
    <w:rsid w:val="00CB34FE"/>
    <w:rsid w:val="00D27C2F"/>
    <w:rsid w:val="00D72DCB"/>
    <w:rsid w:val="00DE0819"/>
    <w:rsid w:val="00EC6280"/>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4</cp:revision>
  <cp:lastPrinted>2022-09-22T04:37:00Z</cp:lastPrinted>
  <dcterms:created xsi:type="dcterms:W3CDTF">2023-01-10T05:36:00Z</dcterms:created>
  <dcterms:modified xsi:type="dcterms:W3CDTF">2023-01-10T12:41:00Z</dcterms:modified>
</cp:coreProperties>
</file>