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8149A" w14:textId="1F320F0B" w:rsidR="00914D90" w:rsidRPr="007D48BB" w:rsidRDefault="00914D90" w:rsidP="00914D90">
      <w:pPr>
        <w:jc w:val="right"/>
        <w:rPr>
          <w:rFonts w:ascii="Times New Roman" w:hAnsi="Times New Roman"/>
          <w:b/>
          <w:bCs/>
          <w:sz w:val="28"/>
          <w:szCs w:val="28"/>
          <w:lang w:val="kk-KZ"/>
        </w:rPr>
      </w:pPr>
      <w:r w:rsidRPr="00914D90">
        <w:rPr>
          <w:rFonts w:ascii="Times New Roman" w:hAnsi="Times New Roman"/>
          <w:b/>
          <w:bCs/>
          <w:sz w:val="28"/>
          <w:szCs w:val="28"/>
          <w:lang w:val="en-US"/>
        </w:rPr>
        <w:t xml:space="preserve">Appendix </w:t>
      </w:r>
      <w:r w:rsidR="007D48BB">
        <w:rPr>
          <w:rFonts w:ascii="Times New Roman" w:hAnsi="Times New Roman"/>
          <w:b/>
          <w:bCs/>
          <w:sz w:val="28"/>
          <w:szCs w:val="28"/>
          <w:lang w:val="kk-KZ"/>
        </w:rPr>
        <w:t>1</w:t>
      </w:r>
    </w:p>
    <w:p w14:paraId="005B41E7" w14:textId="77777777" w:rsidR="00914D90" w:rsidRPr="00914D90" w:rsidRDefault="00914D90" w:rsidP="00914D90">
      <w:pPr>
        <w:rPr>
          <w:rFonts w:ascii="Times New Roman" w:hAnsi="Times New Roman"/>
          <w:sz w:val="28"/>
          <w:szCs w:val="28"/>
          <w:lang w:val="en-US"/>
        </w:rPr>
      </w:pPr>
    </w:p>
    <w:p w14:paraId="47FBD8E4" w14:textId="77777777" w:rsidR="00914D90" w:rsidRPr="00914D90" w:rsidRDefault="00914D90" w:rsidP="00914D90">
      <w:pPr>
        <w:rPr>
          <w:rFonts w:ascii="Times New Roman" w:hAnsi="Times New Roman"/>
          <w:sz w:val="28"/>
          <w:szCs w:val="28"/>
          <w:lang w:val="en-US"/>
        </w:rPr>
      </w:pPr>
    </w:p>
    <w:p w14:paraId="23BC6F7C" w14:textId="77777777" w:rsidR="00914D90" w:rsidRPr="00914D90" w:rsidRDefault="00914D90" w:rsidP="00914D90">
      <w:pPr>
        <w:spacing w:after="0"/>
        <w:jc w:val="center"/>
        <w:rPr>
          <w:rFonts w:ascii="Times New Roman" w:hAnsi="Times New Roman"/>
          <w:b/>
          <w:bCs/>
          <w:sz w:val="28"/>
          <w:szCs w:val="28"/>
          <w:lang w:val="en-US"/>
        </w:rPr>
      </w:pPr>
      <w:r w:rsidRPr="00914D90">
        <w:rPr>
          <w:rFonts w:ascii="Times New Roman" w:hAnsi="Times New Roman"/>
          <w:b/>
          <w:bCs/>
          <w:sz w:val="28"/>
          <w:szCs w:val="28"/>
          <w:lang w:val="en-US"/>
        </w:rPr>
        <w:t>Criteria</w:t>
      </w:r>
    </w:p>
    <w:p w14:paraId="0F0DA2F2" w14:textId="77777777" w:rsidR="00914D90" w:rsidRPr="00914D90" w:rsidRDefault="00914D90" w:rsidP="00914D90">
      <w:pPr>
        <w:spacing w:after="0"/>
        <w:jc w:val="center"/>
        <w:rPr>
          <w:rFonts w:ascii="Times New Roman" w:hAnsi="Times New Roman"/>
          <w:sz w:val="28"/>
          <w:szCs w:val="28"/>
          <w:lang w:val="en-US"/>
        </w:rPr>
      </w:pPr>
      <w:r w:rsidRPr="00914D90">
        <w:rPr>
          <w:rFonts w:ascii="Times New Roman" w:hAnsi="Times New Roman"/>
          <w:sz w:val="28"/>
          <w:szCs w:val="28"/>
          <w:lang w:val="en-US"/>
        </w:rPr>
        <w:t>for selecting service providers</w:t>
      </w:r>
    </w:p>
    <w:p w14:paraId="1930C88D" w14:textId="5C666835" w:rsidR="00914D90" w:rsidRPr="00914D90" w:rsidRDefault="00254063" w:rsidP="00914D90">
      <w:pPr>
        <w:spacing w:after="0"/>
        <w:jc w:val="both"/>
        <w:rPr>
          <w:rFonts w:ascii="Times New Roman" w:hAnsi="Times New Roman"/>
          <w:sz w:val="28"/>
          <w:szCs w:val="28"/>
          <w:lang w:val="en-US"/>
        </w:rPr>
      </w:pPr>
      <w:r w:rsidRPr="00254063">
        <w:rPr>
          <w:rFonts w:ascii="Times New Roman" w:hAnsi="Times New Roman"/>
          <w:sz w:val="28"/>
          <w:szCs w:val="28"/>
          <w:lang w:val="en-US"/>
        </w:rPr>
        <w:t>to provide services for the preparation of documentation on the procedures for the purchase of Citis and procedures for the documentation of the chief mechanic service and automated control system, work with applications and in the 1C system, checking the correctness of technical specifications for works and spare parts of instrumentation and mechanical equipment</w:t>
      </w:r>
      <w:r w:rsidR="00914D90" w:rsidRPr="00914D90">
        <w:rPr>
          <w:rFonts w:ascii="Times New Roman" w:hAnsi="Times New Roman"/>
          <w:sz w:val="28"/>
          <w:szCs w:val="28"/>
          <w:lang w:val="en-US"/>
        </w:rPr>
        <w:t>.</w:t>
      </w:r>
    </w:p>
    <w:p w14:paraId="7F8A8A42" w14:textId="1CC79F47" w:rsidR="00914D90" w:rsidRDefault="00914D90" w:rsidP="00914D90">
      <w:pPr>
        <w:rPr>
          <w:rFonts w:ascii="Times New Roman" w:hAnsi="Times New Roman"/>
          <w:sz w:val="28"/>
          <w:szCs w:val="28"/>
          <w:lang w:val="en-US"/>
        </w:rPr>
      </w:pPr>
    </w:p>
    <w:tbl>
      <w:tblPr>
        <w:tblW w:w="10065" w:type="dxa"/>
        <w:tblInd w:w="-8" w:type="dxa"/>
        <w:tblLayout w:type="fixed"/>
        <w:tblCellMar>
          <w:left w:w="70" w:type="dxa"/>
          <w:right w:w="70" w:type="dxa"/>
        </w:tblCellMar>
        <w:tblLook w:val="0000" w:firstRow="0" w:lastRow="0" w:firstColumn="0" w:lastColumn="0" w:noHBand="0" w:noVBand="0"/>
      </w:tblPr>
      <w:tblGrid>
        <w:gridCol w:w="709"/>
        <w:gridCol w:w="9356"/>
      </w:tblGrid>
      <w:tr w:rsidR="00914D90" w:rsidRPr="007A49F3" w14:paraId="705456BE" w14:textId="77777777" w:rsidTr="004857B6">
        <w:trPr>
          <w:cantSplit/>
          <w:trHeight w:val="253"/>
        </w:trPr>
        <w:tc>
          <w:tcPr>
            <w:tcW w:w="709" w:type="dxa"/>
            <w:tcBorders>
              <w:top w:val="single" w:sz="6" w:space="0" w:color="auto"/>
              <w:left w:val="single" w:sz="6" w:space="0" w:color="auto"/>
              <w:bottom w:val="single" w:sz="6" w:space="0" w:color="auto"/>
              <w:right w:val="single" w:sz="6" w:space="0" w:color="auto"/>
            </w:tcBorders>
            <w:vAlign w:val="center"/>
          </w:tcPr>
          <w:p w14:paraId="0397BADF" w14:textId="77777777" w:rsidR="00914D90" w:rsidRPr="005C6DD6" w:rsidRDefault="00914D90" w:rsidP="004857B6">
            <w:pPr>
              <w:pStyle w:val="NoNumberNormal"/>
              <w:widowControl/>
              <w:tabs>
                <w:tab w:val="left" w:pos="214"/>
              </w:tabs>
              <w:ind w:firstLine="0"/>
              <w:jc w:val="center"/>
              <w:rPr>
                <w:rFonts w:ascii="Times New Roman" w:hAnsi="Times New Roman" w:cs="Times New Roman"/>
                <w:sz w:val="28"/>
                <w:szCs w:val="28"/>
              </w:rPr>
            </w:pPr>
            <w:r w:rsidRPr="005C6DD6">
              <w:rPr>
                <w:rFonts w:ascii="Times New Roman" w:hAnsi="Times New Roman" w:cs="Times New Roman"/>
                <w:sz w:val="28"/>
                <w:szCs w:val="28"/>
              </w:rPr>
              <w:t>1</w:t>
            </w:r>
          </w:p>
        </w:tc>
        <w:tc>
          <w:tcPr>
            <w:tcW w:w="9356" w:type="dxa"/>
            <w:tcBorders>
              <w:top w:val="single" w:sz="6" w:space="0" w:color="auto"/>
              <w:left w:val="single" w:sz="6" w:space="0" w:color="auto"/>
              <w:bottom w:val="single" w:sz="6" w:space="0" w:color="auto"/>
              <w:right w:val="single" w:sz="6" w:space="0" w:color="auto"/>
            </w:tcBorders>
          </w:tcPr>
          <w:p w14:paraId="6EE8B428" w14:textId="08A95B17" w:rsidR="00914D90" w:rsidRPr="005C6DD6" w:rsidRDefault="00914D90" w:rsidP="004857B6">
            <w:pPr>
              <w:pStyle w:val="NoNumberNormal"/>
              <w:widowControl/>
              <w:tabs>
                <w:tab w:val="left" w:pos="214"/>
              </w:tabs>
              <w:ind w:firstLine="0"/>
              <w:rPr>
                <w:rFonts w:ascii="Times New Roman" w:hAnsi="Times New Roman" w:cs="Times New Roman"/>
                <w:sz w:val="28"/>
                <w:szCs w:val="28"/>
                <w:lang w:val="kk-KZ"/>
              </w:rPr>
            </w:pPr>
            <w:r w:rsidRPr="00914D90">
              <w:rPr>
                <w:rFonts w:ascii="Times New Roman" w:hAnsi="Times New Roman"/>
                <w:sz w:val="28"/>
                <w:szCs w:val="28"/>
                <w:lang w:val="en-US"/>
              </w:rPr>
              <w:t>Experience in the labor market in the uranium industry – not required</w:t>
            </w:r>
          </w:p>
        </w:tc>
      </w:tr>
      <w:tr w:rsidR="00914D90" w:rsidRPr="007A49F3" w14:paraId="048132AB" w14:textId="77777777" w:rsidTr="004857B6">
        <w:trPr>
          <w:cantSplit/>
          <w:trHeight w:val="253"/>
        </w:trPr>
        <w:tc>
          <w:tcPr>
            <w:tcW w:w="709" w:type="dxa"/>
            <w:tcBorders>
              <w:top w:val="single" w:sz="6" w:space="0" w:color="000000"/>
              <w:left w:val="single" w:sz="4" w:space="0" w:color="auto"/>
              <w:bottom w:val="single" w:sz="6" w:space="0" w:color="000000"/>
              <w:right w:val="single" w:sz="6" w:space="0" w:color="000000"/>
            </w:tcBorders>
            <w:vAlign w:val="center"/>
          </w:tcPr>
          <w:p w14:paraId="6E90ACBC" w14:textId="77777777" w:rsidR="00914D90" w:rsidRPr="005C6DD6" w:rsidRDefault="00914D90" w:rsidP="004857B6">
            <w:pPr>
              <w:widowControl w:val="0"/>
              <w:jc w:val="center"/>
              <w:rPr>
                <w:rFonts w:ascii="Times New Roman" w:hAnsi="Times New Roman"/>
                <w:sz w:val="28"/>
                <w:szCs w:val="28"/>
              </w:rPr>
            </w:pPr>
            <w:r w:rsidRPr="005C6DD6">
              <w:rPr>
                <w:rFonts w:ascii="Times New Roman" w:hAnsi="Times New Roman"/>
                <w:sz w:val="28"/>
                <w:szCs w:val="28"/>
              </w:rPr>
              <w:t>2</w:t>
            </w:r>
          </w:p>
        </w:tc>
        <w:tc>
          <w:tcPr>
            <w:tcW w:w="9356" w:type="dxa"/>
            <w:tcBorders>
              <w:top w:val="single" w:sz="6" w:space="0" w:color="000000"/>
              <w:left w:val="single" w:sz="6" w:space="0" w:color="000000"/>
              <w:bottom w:val="single" w:sz="6" w:space="0" w:color="000000"/>
              <w:right w:val="single" w:sz="6" w:space="0" w:color="000000"/>
            </w:tcBorders>
          </w:tcPr>
          <w:p w14:paraId="3F3F8FEC" w14:textId="6214D30D" w:rsidR="00914D90" w:rsidRPr="00914D90" w:rsidRDefault="00914D90" w:rsidP="00914D90">
            <w:pPr>
              <w:rPr>
                <w:rFonts w:ascii="Times New Roman" w:hAnsi="Times New Roman"/>
                <w:sz w:val="28"/>
                <w:szCs w:val="28"/>
                <w:lang w:val="en-US"/>
              </w:rPr>
            </w:pPr>
            <w:r w:rsidRPr="00914D90">
              <w:rPr>
                <w:rFonts w:ascii="Times New Roman" w:hAnsi="Times New Roman"/>
                <w:sz w:val="28"/>
                <w:szCs w:val="28"/>
                <w:lang w:val="en-US"/>
              </w:rPr>
              <w:t xml:space="preserve">Work experience in relation to the direction of the service – </w:t>
            </w:r>
            <w:r w:rsidR="0011740E" w:rsidRPr="00914D90">
              <w:rPr>
                <w:rFonts w:ascii="Times New Roman" w:hAnsi="Times New Roman"/>
                <w:sz w:val="28"/>
                <w:szCs w:val="28"/>
                <w:lang w:val="en-US"/>
              </w:rPr>
              <w:t>not required</w:t>
            </w:r>
          </w:p>
        </w:tc>
      </w:tr>
      <w:tr w:rsidR="00914D90" w:rsidRPr="007A49F3" w14:paraId="3550BE72" w14:textId="77777777" w:rsidTr="004857B6">
        <w:trPr>
          <w:cantSplit/>
          <w:trHeight w:val="417"/>
        </w:trPr>
        <w:tc>
          <w:tcPr>
            <w:tcW w:w="709" w:type="dxa"/>
            <w:tcBorders>
              <w:top w:val="single" w:sz="6" w:space="0" w:color="auto"/>
              <w:left w:val="single" w:sz="6" w:space="0" w:color="auto"/>
              <w:bottom w:val="single" w:sz="6" w:space="0" w:color="auto"/>
              <w:right w:val="single" w:sz="6" w:space="0" w:color="auto"/>
            </w:tcBorders>
            <w:vAlign w:val="center"/>
          </w:tcPr>
          <w:p w14:paraId="6B818D1B" w14:textId="77777777" w:rsidR="00914D90" w:rsidRPr="005C6DD6" w:rsidRDefault="00914D90" w:rsidP="004857B6">
            <w:pPr>
              <w:pStyle w:val="NoNumberNormal"/>
              <w:widowControl/>
              <w:tabs>
                <w:tab w:val="left" w:pos="356"/>
              </w:tabs>
              <w:ind w:firstLine="0"/>
              <w:jc w:val="center"/>
              <w:rPr>
                <w:rFonts w:ascii="Times New Roman" w:hAnsi="Times New Roman" w:cs="Times New Roman"/>
                <w:sz w:val="28"/>
                <w:szCs w:val="28"/>
              </w:rPr>
            </w:pPr>
            <w:r w:rsidRPr="005C6DD6">
              <w:rPr>
                <w:rFonts w:ascii="Times New Roman" w:hAnsi="Times New Roman" w:cs="Times New Roman"/>
                <w:sz w:val="28"/>
                <w:szCs w:val="28"/>
              </w:rPr>
              <w:t>3</w:t>
            </w:r>
          </w:p>
        </w:tc>
        <w:tc>
          <w:tcPr>
            <w:tcW w:w="9356" w:type="dxa"/>
            <w:tcBorders>
              <w:top w:val="single" w:sz="6" w:space="0" w:color="auto"/>
              <w:left w:val="single" w:sz="6" w:space="0" w:color="auto"/>
              <w:bottom w:val="single" w:sz="6" w:space="0" w:color="auto"/>
              <w:right w:val="single" w:sz="6" w:space="0" w:color="auto"/>
            </w:tcBorders>
          </w:tcPr>
          <w:p w14:paraId="640F2D7B" w14:textId="1FC305E2" w:rsidR="00914D90" w:rsidRPr="005C6DD6" w:rsidRDefault="00914D90" w:rsidP="004857B6">
            <w:pPr>
              <w:pStyle w:val="NoNumberNormal"/>
              <w:widowControl/>
              <w:tabs>
                <w:tab w:val="left" w:pos="214"/>
              </w:tabs>
              <w:ind w:firstLine="0"/>
              <w:rPr>
                <w:rFonts w:ascii="Times New Roman" w:hAnsi="Times New Roman" w:cs="Times New Roman"/>
                <w:sz w:val="28"/>
                <w:szCs w:val="28"/>
                <w:lang w:val="kk-KZ"/>
              </w:rPr>
            </w:pPr>
            <w:r w:rsidRPr="00914D90">
              <w:rPr>
                <w:rFonts w:ascii="Times New Roman" w:hAnsi="Times New Roman"/>
                <w:sz w:val="28"/>
                <w:szCs w:val="28"/>
                <w:lang w:val="en-US"/>
              </w:rPr>
              <w:t xml:space="preserve">Availability of supporting documents of education, in relation to services – </w:t>
            </w:r>
            <w:r w:rsidR="0011740E" w:rsidRPr="0011740E">
              <w:rPr>
                <w:rFonts w:ascii="Times New Roman" w:hAnsi="Times New Roman"/>
                <w:sz w:val="28"/>
                <w:szCs w:val="28"/>
                <w:lang w:val="en-US"/>
              </w:rPr>
              <w:t>secondary technical education</w:t>
            </w:r>
          </w:p>
        </w:tc>
      </w:tr>
      <w:tr w:rsidR="00914D90" w:rsidRPr="0011740E" w14:paraId="4174018F" w14:textId="77777777" w:rsidTr="004857B6">
        <w:trPr>
          <w:cantSplit/>
          <w:trHeight w:val="253"/>
        </w:trPr>
        <w:tc>
          <w:tcPr>
            <w:tcW w:w="709" w:type="dxa"/>
            <w:tcBorders>
              <w:top w:val="single" w:sz="6" w:space="0" w:color="auto"/>
              <w:left w:val="single" w:sz="6" w:space="0" w:color="auto"/>
              <w:bottom w:val="single" w:sz="6" w:space="0" w:color="auto"/>
              <w:right w:val="single" w:sz="6" w:space="0" w:color="auto"/>
            </w:tcBorders>
          </w:tcPr>
          <w:p w14:paraId="75A6F16E" w14:textId="77777777" w:rsidR="00914D90" w:rsidRPr="005C6DD6" w:rsidRDefault="00914D90" w:rsidP="004857B6">
            <w:pPr>
              <w:pStyle w:val="NoNumberNormal"/>
              <w:widowControl/>
              <w:tabs>
                <w:tab w:val="left" w:pos="356"/>
              </w:tabs>
              <w:ind w:firstLine="0"/>
              <w:jc w:val="center"/>
              <w:rPr>
                <w:rFonts w:ascii="Times New Roman" w:hAnsi="Times New Roman" w:cs="Times New Roman"/>
                <w:sz w:val="28"/>
                <w:szCs w:val="28"/>
              </w:rPr>
            </w:pPr>
            <w:r w:rsidRPr="005C6DD6">
              <w:rPr>
                <w:rFonts w:ascii="Times New Roman" w:hAnsi="Times New Roman" w:cs="Times New Roman"/>
                <w:sz w:val="28"/>
                <w:szCs w:val="28"/>
              </w:rPr>
              <w:t>4</w:t>
            </w:r>
          </w:p>
        </w:tc>
        <w:tc>
          <w:tcPr>
            <w:tcW w:w="9356" w:type="dxa"/>
            <w:tcBorders>
              <w:top w:val="single" w:sz="6" w:space="0" w:color="000000"/>
              <w:left w:val="single" w:sz="6" w:space="0" w:color="000000"/>
              <w:bottom w:val="single" w:sz="6" w:space="0" w:color="000000"/>
              <w:right w:val="single" w:sz="6" w:space="0" w:color="000000"/>
            </w:tcBorders>
            <w:vAlign w:val="center"/>
          </w:tcPr>
          <w:p w14:paraId="2088F6E2" w14:textId="0D2FF610" w:rsidR="00914D90" w:rsidRPr="005C6DD6" w:rsidRDefault="00914D90" w:rsidP="004857B6">
            <w:pPr>
              <w:pStyle w:val="NoNumberNormal"/>
              <w:widowControl/>
              <w:tabs>
                <w:tab w:val="left" w:pos="214"/>
              </w:tabs>
              <w:ind w:firstLine="0"/>
              <w:rPr>
                <w:rFonts w:ascii="Times New Roman" w:hAnsi="Times New Roman" w:cs="Times New Roman"/>
                <w:sz w:val="28"/>
                <w:szCs w:val="28"/>
                <w:lang w:val="kk-KZ"/>
              </w:rPr>
            </w:pPr>
            <w:r w:rsidRPr="00914D90">
              <w:rPr>
                <w:rFonts w:ascii="Times New Roman" w:hAnsi="Times New Roman"/>
                <w:sz w:val="28"/>
                <w:szCs w:val="28"/>
                <w:lang w:val="en-US"/>
              </w:rPr>
              <w:t>The availability of appropriate certificates, in relation to services – is not required</w:t>
            </w:r>
          </w:p>
        </w:tc>
      </w:tr>
    </w:tbl>
    <w:p w14:paraId="0E204534" w14:textId="77777777" w:rsidR="00914D90" w:rsidRPr="00914D90" w:rsidRDefault="00914D90" w:rsidP="00914D90">
      <w:pPr>
        <w:rPr>
          <w:rFonts w:ascii="Times New Roman" w:hAnsi="Times New Roman"/>
          <w:sz w:val="28"/>
          <w:szCs w:val="28"/>
          <w:lang w:val="en-US"/>
        </w:rPr>
      </w:pPr>
    </w:p>
    <w:p w14:paraId="512AF600" w14:textId="070BA254" w:rsidR="00914D90" w:rsidRPr="00914D90" w:rsidRDefault="00914D90" w:rsidP="00914D90">
      <w:pPr>
        <w:rPr>
          <w:rFonts w:ascii="Times New Roman" w:hAnsi="Times New Roman"/>
          <w:sz w:val="28"/>
          <w:szCs w:val="28"/>
          <w:lang w:val="en-US"/>
        </w:rPr>
      </w:pPr>
      <w:r w:rsidRPr="00914D90">
        <w:rPr>
          <w:rFonts w:ascii="Times New Roman" w:hAnsi="Times New Roman"/>
          <w:sz w:val="28"/>
          <w:szCs w:val="28"/>
          <w:lang w:val="en-US"/>
        </w:rPr>
        <w:t>Note. The candidate is evaluated according to the criteria.</w:t>
      </w:r>
    </w:p>
    <w:sectPr w:rsidR="00914D90" w:rsidRPr="00914D90" w:rsidSect="00516B7C">
      <w:pgSz w:w="11906" w:h="16838"/>
      <w:pgMar w:top="1134" w:right="567" w:bottom="851"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237D8"/>
    <w:multiLevelType w:val="hybridMultilevel"/>
    <w:tmpl w:val="2D3A5356"/>
    <w:lvl w:ilvl="0" w:tplc="04190013">
      <w:start w:val="1"/>
      <w:numFmt w:val="upperRoman"/>
      <w:lvlText w:val="%1."/>
      <w:lvlJc w:val="righ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1366682E"/>
    <w:multiLevelType w:val="hybridMultilevel"/>
    <w:tmpl w:val="F2BCAF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DF2787F"/>
    <w:multiLevelType w:val="hybridMultilevel"/>
    <w:tmpl w:val="D0D89CDE"/>
    <w:lvl w:ilvl="0" w:tplc="08561B7A">
      <w:start w:val="1"/>
      <w:numFmt w:val="decimal"/>
      <w:pStyle w:val="1"/>
      <w:lvlText w:val="%1."/>
      <w:lvlJc w:val="left"/>
      <w:pPr>
        <w:ind w:left="8441" w:hanging="360"/>
      </w:pPr>
      <w:rPr>
        <w:rFonts w:ascii="Times New Roman" w:hAnsi="Times New Roman" w:hint="default"/>
        <w:b/>
        <w:i w:val="0"/>
        <w:color w:val="auto"/>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0F5EDB"/>
    <w:multiLevelType w:val="hybridMultilevel"/>
    <w:tmpl w:val="67F46F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BB36F9"/>
    <w:multiLevelType w:val="hybridMultilevel"/>
    <w:tmpl w:val="52A04496"/>
    <w:lvl w:ilvl="0" w:tplc="D54A17DE">
      <w:start w:val="1"/>
      <w:numFmt w:val="decimal"/>
      <w:pStyle w:val="10"/>
      <w:lvlText w:val="%1."/>
      <w:lvlJc w:val="left"/>
      <w:pPr>
        <w:ind w:left="6031" w:hanging="360"/>
      </w:pPr>
      <w:rPr>
        <w:rFonts w:ascii="Times New Roman" w:hAnsi="Times New Roman" w:hint="default"/>
        <w:b w:val="0"/>
        <w:bCs/>
        <w:i w:val="0"/>
        <w:iCs/>
        <w:color w:val="auto"/>
        <w:sz w:val="24"/>
        <w:szCs w:val="22"/>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4B0A7D19"/>
    <w:multiLevelType w:val="hybridMultilevel"/>
    <w:tmpl w:val="CC046378"/>
    <w:lvl w:ilvl="0" w:tplc="7172B296">
      <w:start w:val="1"/>
      <w:numFmt w:val="decimal"/>
      <w:lvlText w:val="%1."/>
      <w:lvlJc w:val="left"/>
      <w:pPr>
        <w:ind w:left="360" w:hanging="360"/>
      </w:pPr>
      <w:rPr>
        <w:rFonts w:ascii="Times New Roman" w:eastAsia="Calibri" w:hAnsi="Times New Roman" w:cs="Times New Roman"/>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15:restartNumberingAfterBreak="0">
    <w:nsid w:val="51864C58"/>
    <w:multiLevelType w:val="multilevel"/>
    <w:tmpl w:val="679E8EE0"/>
    <w:lvl w:ilvl="0">
      <w:start w:val="1"/>
      <w:numFmt w:val="decimal"/>
      <w:lvlText w:val="%1."/>
      <w:lvlJc w:val="left"/>
      <w:pPr>
        <w:ind w:left="720" w:hanging="360"/>
      </w:pPr>
      <w:rPr>
        <w:rFonts w:hint="default"/>
      </w:rPr>
    </w:lvl>
    <w:lvl w:ilvl="1">
      <w:start w:val="1"/>
      <w:numFmt w:val="decimal"/>
      <w:isLgl/>
      <w:lvlText w:val="%1.%2."/>
      <w:lvlJc w:val="left"/>
      <w:pPr>
        <w:ind w:left="1315" w:hanging="852"/>
      </w:pPr>
      <w:rPr>
        <w:rFonts w:hint="default"/>
      </w:rPr>
    </w:lvl>
    <w:lvl w:ilvl="2">
      <w:start w:val="10"/>
      <w:numFmt w:val="decimal"/>
      <w:isLgl/>
      <w:lvlText w:val="%1.%2.%3."/>
      <w:lvlJc w:val="left"/>
      <w:pPr>
        <w:ind w:left="1418" w:hanging="852"/>
      </w:pPr>
      <w:rPr>
        <w:rFonts w:hint="default"/>
      </w:rPr>
    </w:lvl>
    <w:lvl w:ilvl="3">
      <w:start w:val="1"/>
      <w:numFmt w:val="decimal"/>
      <w:isLgl/>
      <w:lvlText w:val="%1.%2.%3.%4."/>
      <w:lvlJc w:val="left"/>
      <w:pPr>
        <w:ind w:left="1521" w:hanging="852"/>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num w:numId="1" w16cid:durableId="975183219">
    <w:abstractNumId w:val="4"/>
  </w:num>
  <w:num w:numId="2" w16cid:durableId="1078403992">
    <w:abstractNumId w:val="2"/>
  </w:num>
  <w:num w:numId="3" w16cid:durableId="12340467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65417771">
    <w:abstractNumId w:val="3"/>
  </w:num>
  <w:num w:numId="5" w16cid:durableId="1846092182">
    <w:abstractNumId w:val="0"/>
  </w:num>
  <w:num w:numId="6" w16cid:durableId="567496695">
    <w:abstractNumId w:val="6"/>
  </w:num>
  <w:num w:numId="7" w16cid:durableId="9360131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85D"/>
    <w:rsid w:val="00097360"/>
    <w:rsid w:val="0011740E"/>
    <w:rsid w:val="00122FAD"/>
    <w:rsid w:val="00127F80"/>
    <w:rsid w:val="001A7B37"/>
    <w:rsid w:val="001F7467"/>
    <w:rsid w:val="002342D3"/>
    <w:rsid w:val="00254063"/>
    <w:rsid w:val="0046085D"/>
    <w:rsid w:val="004C0C1B"/>
    <w:rsid w:val="005C6DD6"/>
    <w:rsid w:val="006E6D29"/>
    <w:rsid w:val="007A49F3"/>
    <w:rsid w:val="007D48BB"/>
    <w:rsid w:val="00882591"/>
    <w:rsid w:val="008837F0"/>
    <w:rsid w:val="008B7D05"/>
    <w:rsid w:val="008E1384"/>
    <w:rsid w:val="00914D90"/>
    <w:rsid w:val="00B45249"/>
    <w:rsid w:val="00B458D7"/>
    <w:rsid w:val="00C61974"/>
    <w:rsid w:val="00C77DF9"/>
    <w:rsid w:val="00CB34FE"/>
    <w:rsid w:val="00D27C2F"/>
    <w:rsid w:val="00D72DCB"/>
    <w:rsid w:val="00DE0819"/>
    <w:rsid w:val="00EC6280"/>
    <w:rsid w:val="00FD2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823F2"/>
  <w15:chartTrackingRefBased/>
  <w15:docId w15:val="{85040728-0F46-4DE3-A326-9B4B6F559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7467"/>
    <w:rPr>
      <w:rFonts w:ascii="Calibri" w:eastAsia="Calibri" w:hAnsi="Calibri" w:cs="Times New Roman"/>
      <w:lang w:eastAsia="ru-RU"/>
    </w:rPr>
  </w:style>
  <w:style w:type="paragraph" w:styleId="1">
    <w:name w:val="heading 1"/>
    <w:basedOn w:val="a"/>
    <w:next w:val="a"/>
    <w:link w:val="11"/>
    <w:uiPriority w:val="9"/>
    <w:qFormat/>
    <w:rsid w:val="001F7467"/>
    <w:pPr>
      <w:keepNext/>
      <w:keepLines/>
      <w:numPr>
        <w:numId w:val="2"/>
      </w:numPr>
      <w:tabs>
        <w:tab w:val="left" w:pos="1134"/>
      </w:tabs>
      <w:spacing w:before="240" w:after="240" w:line="240" w:lineRule="auto"/>
      <w:jc w:val="center"/>
      <w:outlineLvl w:val="0"/>
    </w:pPr>
    <w:rPr>
      <w:rFonts w:ascii="Times New Roman" w:eastAsiaTheme="majorEastAsia" w:hAnsi="Times New Roman" w:cstheme="majorBidi"/>
      <w:b/>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
    <w:rsid w:val="001F7467"/>
    <w:rPr>
      <w:rFonts w:ascii="Times New Roman" w:eastAsiaTheme="majorEastAsia" w:hAnsi="Times New Roman" w:cstheme="majorBidi"/>
      <w:b/>
      <w:sz w:val="28"/>
      <w:szCs w:val="32"/>
      <w:lang w:eastAsia="ru-RU"/>
    </w:rPr>
  </w:style>
  <w:style w:type="paragraph" w:styleId="a3">
    <w:name w:val="List Paragraph"/>
    <w:aliases w:val="маркированный"/>
    <w:basedOn w:val="a"/>
    <w:link w:val="a4"/>
    <w:uiPriority w:val="34"/>
    <w:qFormat/>
    <w:rsid w:val="001F7467"/>
    <w:pPr>
      <w:ind w:left="720"/>
      <w:contextualSpacing/>
    </w:pPr>
    <w:rPr>
      <w:rFonts w:asciiTheme="minorHAnsi" w:eastAsiaTheme="minorHAnsi" w:hAnsiTheme="minorHAnsi" w:cstheme="minorBidi"/>
      <w:lang w:eastAsia="en-US"/>
    </w:rPr>
  </w:style>
  <w:style w:type="character" w:customStyle="1" w:styleId="a4">
    <w:name w:val="Абзац списка Знак"/>
    <w:aliases w:val="маркированный Знак"/>
    <w:link w:val="a3"/>
    <w:uiPriority w:val="34"/>
    <w:rsid w:val="001F7467"/>
  </w:style>
  <w:style w:type="paragraph" w:customStyle="1" w:styleId="10">
    <w:name w:val="Стиль1"/>
    <w:basedOn w:val="a3"/>
    <w:qFormat/>
    <w:rsid w:val="001F7467"/>
    <w:pPr>
      <w:numPr>
        <w:numId w:val="1"/>
      </w:numPr>
      <w:tabs>
        <w:tab w:val="left" w:pos="1134"/>
      </w:tabs>
      <w:spacing w:after="0" w:line="240" w:lineRule="auto"/>
      <w:ind w:left="1211"/>
      <w:jc w:val="both"/>
    </w:pPr>
    <w:rPr>
      <w:rFonts w:ascii="Times New Roman" w:eastAsia="Times New Roman" w:hAnsi="Times New Roman"/>
      <w:sz w:val="24"/>
      <w:szCs w:val="24"/>
    </w:rPr>
  </w:style>
  <w:style w:type="table" w:styleId="a5">
    <w:name w:val="Table Grid"/>
    <w:basedOn w:val="a1"/>
    <w:uiPriority w:val="99"/>
    <w:rsid w:val="008B7D0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berNormal">
    <w:name w:val="NoNumberNormal"/>
    <w:rsid w:val="008B7D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uiPriority w:val="99"/>
    <w:unhideWhenUsed/>
    <w:rsid w:val="008B7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8B7D05"/>
    <w:rPr>
      <w:rFonts w:ascii="Courier New" w:eastAsia="Times New Roman" w:hAnsi="Courier New" w:cs="Courier New"/>
      <w:sz w:val="20"/>
      <w:szCs w:val="20"/>
      <w:lang w:eastAsia="ru-RU"/>
    </w:rPr>
  </w:style>
  <w:style w:type="character" w:styleId="a6">
    <w:name w:val="Hyperlink"/>
    <w:basedOn w:val="a0"/>
    <w:uiPriority w:val="99"/>
    <w:unhideWhenUsed/>
    <w:rsid w:val="006E6D29"/>
    <w:rPr>
      <w:color w:val="0563C1" w:themeColor="hyperlink"/>
      <w:u w:val="single"/>
    </w:rPr>
  </w:style>
  <w:style w:type="character" w:customStyle="1" w:styleId="12">
    <w:name w:val="Неразрешенное упоминание1"/>
    <w:basedOn w:val="a0"/>
    <w:uiPriority w:val="99"/>
    <w:semiHidden/>
    <w:unhideWhenUsed/>
    <w:rsid w:val="006E6D29"/>
    <w:rPr>
      <w:color w:val="605E5C"/>
      <w:shd w:val="clear" w:color="auto" w:fill="E1DFDD"/>
    </w:rPr>
  </w:style>
  <w:style w:type="paragraph" w:styleId="a7">
    <w:name w:val="Balloon Text"/>
    <w:basedOn w:val="a"/>
    <w:link w:val="a8"/>
    <w:uiPriority w:val="99"/>
    <w:semiHidden/>
    <w:unhideWhenUsed/>
    <w:rsid w:val="00EC628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C6280"/>
    <w:rPr>
      <w:rFonts w:ascii="Segoe UI" w:eastAsia="Calibr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710250">
      <w:bodyDiv w:val="1"/>
      <w:marLeft w:val="0"/>
      <w:marRight w:val="0"/>
      <w:marTop w:val="0"/>
      <w:marBottom w:val="0"/>
      <w:divBdr>
        <w:top w:val="none" w:sz="0" w:space="0" w:color="auto"/>
        <w:left w:val="none" w:sz="0" w:space="0" w:color="auto"/>
        <w:bottom w:val="none" w:sz="0" w:space="0" w:color="auto"/>
        <w:right w:val="none" w:sz="0" w:space="0" w:color="auto"/>
      </w:divBdr>
    </w:div>
    <w:div w:id="766727546">
      <w:bodyDiv w:val="1"/>
      <w:marLeft w:val="0"/>
      <w:marRight w:val="0"/>
      <w:marTop w:val="0"/>
      <w:marBottom w:val="0"/>
      <w:divBdr>
        <w:top w:val="none" w:sz="0" w:space="0" w:color="auto"/>
        <w:left w:val="none" w:sz="0" w:space="0" w:color="auto"/>
        <w:bottom w:val="none" w:sz="0" w:space="0" w:color="auto"/>
        <w:right w:val="none" w:sz="0" w:space="0" w:color="auto"/>
      </w:divBdr>
    </w:div>
    <w:div w:id="1204757562">
      <w:bodyDiv w:val="1"/>
      <w:marLeft w:val="0"/>
      <w:marRight w:val="0"/>
      <w:marTop w:val="0"/>
      <w:marBottom w:val="0"/>
      <w:divBdr>
        <w:top w:val="none" w:sz="0" w:space="0" w:color="auto"/>
        <w:left w:val="none" w:sz="0" w:space="0" w:color="auto"/>
        <w:bottom w:val="none" w:sz="0" w:space="0" w:color="auto"/>
        <w:right w:val="none" w:sz="0" w:space="0" w:color="auto"/>
      </w:divBdr>
    </w:div>
    <w:div w:id="192710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124</Words>
  <Characters>711</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Акмарал Бортебаева</dc:creator>
  <cp:keywords/>
  <dc:description/>
  <cp:lastModifiedBy>Анатолий Татаринцев</cp:lastModifiedBy>
  <cp:revision>6</cp:revision>
  <cp:lastPrinted>2022-09-22T04:37:00Z</cp:lastPrinted>
  <dcterms:created xsi:type="dcterms:W3CDTF">2023-01-10T05:36:00Z</dcterms:created>
  <dcterms:modified xsi:type="dcterms:W3CDTF">2023-02-13T07:42:00Z</dcterms:modified>
</cp:coreProperties>
</file>