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0.jpeg" ContentType="image/jpeg"/>
  <Override PartName="/word/media/image3.jpeg" ContentType="image/jpeg"/>
  <Override PartName="/word/media/image4.png" ContentType="image/png"/>
  <Override PartName="/word/media/image5.jpeg" ContentType="image/jpeg"/>
  <Override PartName="/word/media/image6.jpeg" ContentType="image/jpeg"/>
  <Override PartName="/word/media/image16.png" ContentType="image/png"/>
  <Override PartName="/word/media/image11.jpeg" ContentType="image/jpeg"/>
  <Override PartName="/word/media/image7.jpeg" ContentType="image/jpeg"/>
  <Override PartName="/word/media/image12.jpeg" ContentType="image/jpeg"/>
  <Override PartName="/word/media/image26.png" ContentType="image/png"/>
  <Override PartName="/word/media/image8.jpeg" ContentType="image/jpeg"/>
  <Override PartName="/word/media/image13.jpeg" ContentType="image/jpeg"/>
  <Override PartName="/word/media/image9.jpeg" ContentType="image/jpeg"/>
  <Override PartName="/word/media/image14.jpeg" ContentType="image/jpeg"/>
  <Override PartName="/word/media/image10.png" ContentType="image/png"/>
  <Override PartName="/word/media/image15.jpeg" ContentType="image/jpeg"/>
  <Override PartName="/word/media/image17.png" ContentType="image/png"/>
  <Override PartName="/word/media/image21.jpeg" ContentType="image/jpeg"/>
  <Override PartName="/word/media/image18.png" ContentType="image/png"/>
  <Override PartName="/word/media/image31.jpeg" ContentType="image/jpeg"/>
  <Override PartName="/word/media/image19.jpeg" ContentType="image/jpeg"/>
  <Override PartName="/word/media/image20.jpeg" ContentType="image/jpeg"/>
  <Override PartName="/word/media/image29.png" ContentType="image/png"/>
  <Override PartName="/word/media/image22.jpeg" ContentType="image/jpeg"/>
  <Override PartName="/word/media/image23.jpeg" ContentType="image/jpeg"/>
  <Override PartName="/word/media/image24.jpeg" ContentType="image/jpeg"/>
  <Override PartName="/word/media/image25.jpeg" ContentType="image/jpeg"/>
  <Override PartName="/word/media/image27.jpeg" ContentType="image/jpeg"/>
  <Override PartName="/word/media/image28.jpeg" ContentType="image/jpeg"/>
  <Override PartName="/word/settings.xml" ContentType="application/vnd.openxmlformats-officedocument.wordprocessingml.settings+xml"/>
  <Override PartName="/word/styles.xml" ContentType="application/vnd.openxmlformats-officedocument.wordprocessingml.styles+xml"/>
  <Override PartName="/word/charts/chart1.xml" ContentType="application/vnd.openxmlformats-officedocument.drawingml.chart+xml"/>
  <Override PartName="/word/charts/_rels/chart1.xml.rels" ContentType="application/vnd.openxmlformats-package.relationship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embeddings/Microsoft_Excel_Worksheet.xlsx" ContentType="application/vnd.openxmlformats-officedocument.spreadsheetml.sheet"/>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eastAsia="Calibri" w:cs="Times New Roman"/>
          <w:sz w:val="24"/>
          <w:szCs w:val="24"/>
        </w:rPr>
      </w:pPr>
      <w:r>
        <w:rPr/>
        <w:drawing>
          <wp:inline distT="0" distB="0" distL="0" distR="0">
            <wp:extent cx="6000750" cy="663829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000750" cy="6638290"/>
                    </a:xfrm>
                    <a:prstGeom prst="rect">
                      <a:avLst/>
                    </a:prstGeom>
                  </pic:spPr>
                </pic:pic>
              </a:graphicData>
            </a:graphic>
          </wp:inline>
        </w:drawing>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jc w:val="center"/>
        <w:rPr>
          <w:rFonts w:ascii="Times New Roman" w:hAnsi="Times New Roman" w:eastAsia="Calibri" w:cs="Times New Roman"/>
          <w:b/>
          <w:bCs/>
          <w:sz w:val="40"/>
          <w:szCs w:val="40"/>
        </w:rPr>
      </w:pPr>
      <w:r>
        <w:rPr>
          <w:rFonts w:eastAsia="Calibri" w:cs="Times New Roman" w:ascii="Times New Roman" w:hAnsi="Times New Roman"/>
          <w:b/>
          <w:bCs/>
          <w:sz w:val="40"/>
          <w:szCs w:val="40"/>
        </w:rPr>
        <w:t xml:space="preserve">Responsibility for the environment and care for the local population </w:t>
      </w:r>
      <w:r>
        <w:br w:type="page"/>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p>
    <w:p>
      <w:pPr>
        <w:pStyle w:val="Normal"/>
        <w:spacing w:lineRule="auto" w:line="276" w:before="0" w:after="200"/>
        <w:rPr>
          <w:rFonts w:ascii="Times New Roman" w:hAnsi="Times New Roman" w:eastAsia="Calibri" w:cs="Times New Roman"/>
          <w:sz w:val="24"/>
          <w:szCs w:val="24"/>
        </w:rPr>
      </w:pPr>
      <w:r>
        <w:rPr/>
        <w:drawing>
          <wp:inline distT="0" distB="0" distL="0" distR="0">
            <wp:extent cx="5885180" cy="762000"/>
            <wp:effectExtent l="0" t="0" r="0" b="0"/>
            <wp:docPr id="2"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
                    <pic:cNvPicPr>
                      <a:picLocks noChangeAspect="1" noChangeArrowheads="1"/>
                    </pic:cNvPicPr>
                  </pic:nvPicPr>
                  <pic:blipFill>
                    <a:blip r:embed="rId3"/>
                    <a:srcRect l="0" t="0" r="0" b="90948"/>
                    <a:stretch>
                      <a:fillRect/>
                    </a:stretch>
                  </pic:blipFill>
                  <pic:spPr bwMode="auto">
                    <a:xfrm>
                      <a:off x="0" y="0"/>
                      <a:ext cx="5885180" cy="762000"/>
                    </a:xfrm>
                    <a:prstGeom prst="rect">
                      <a:avLst/>
                    </a:prstGeom>
                  </pic:spPr>
                </pic:pic>
              </a:graphicData>
            </a:graphic>
          </wp:inline>
        </w:drawing>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t xml:space="preserve">Responsibility for the environment and care for the local population </w:t>
      </w:r>
    </w:p>
    <w:p>
      <w:pPr>
        <w:pStyle w:val="Normal"/>
        <w:jc w:val="center"/>
        <w:rPr>
          <w:rFonts w:ascii="Times New Roman" w:hAnsi="Times New Roman" w:eastAsia="Calibri" w:cs="Times New Roman"/>
          <w:b/>
          <w:bCs/>
          <w:sz w:val="36"/>
          <w:szCs w:val="24"/>
        </w:rPr>
      </w:pPr>
      <w:r>
        <w:rPr>
          <w:rFonts w:eastAsia="Calibri" w:cs="Times New Roman" w:ascii="Times New Roman" w:hAnsi="Times New Roman"/>
          <w:b/>
          <w:bCs/>
          <w:sz w:val="36"/>
          <w:szCs w:val="24"/>
        </w:rPr>
      </w:r>
    </w:p>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200"/>
        <w:jc w:val="center"/>
        <w:rPr>
          <w:rFonts w:ascii="Times New Roman" w:hAnsi="Times New Roman" w:eastAsia="Calibri" w:cs="Times New Roman"/>
          <w:sz w:val="24"/>
          <w:szCs w:val="24"/>
        </w:rPr>
      </w:pPr>
      <w:r>
        <w:rPr/>
        <w:drawing>
          <wp:inline distT="0" distB="0" distL="0" distR="0">
            <wp:extent cx="4220210" cy="2280285"/>
            <wp:effectExtent l="0" t="0" r="0" b="0"/>
            <wp:docPr id="3" name="Рисунок 4" descr="ЮГХК Бетпак-Дала 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ЮГХК Бетпак-Дала ут"/>
                    <pic:cNvPicPr>
                      <a:picLocks noChangeAspect="1" noChangeArrowheads="1"/>
                    </pic:cNvPicPr>
                  </pic:nvPicPr>
                  <pic:blipFill>
                    <a:blip r:embed="rId4"/>
                    <a:stretch>
                      <a:fillRect/>
                    </a:stretch>
                  </pic:blipFill>
                  <pic:spPr bwMode="auto">
                    <a:xfrm>
                      <a:off x="0" y="0"/>
                      <a:ext cx="4220210" cy="2280285"/>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r>
      <w:bookmarkStart w:id="0" w:name="_GoBack"/>
      <w:bookmarkStart w:id="1" w:name="_GoBack"/>
      <w:bookmarkEnd w:id="1"/>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200"/>
        <w:jc w:val="center"/>
        <w:rPr>
          <w:rFonts w:ascii="Times New Roman" w:hAnsi="Times New Roman" w:eastAsia="Calibri" w:cs="Times New Roman"/>
          <w:sz w:val="24"/>
          <w:szCs w:val="24"/>
        </w:rPr>
      </w:pPr>
      <w:r>
        <w:rPr>
          <w:rFonts w:eastAsia="Calibri" w:cs="Times New Roman" w:ascii="Times New Roman" w:hAnsi="Times New Roman"/>
          <w:sz w:val="24"/>
          <w:szCs w:val="24"/>
          <w:lang w:val="en-US"/>
        </w:rPr>
        <w:t>Almaty</w:t>
      </w:r>
      <w:r>
        <w:rPr>
          <w:rFonts w:eastAsia="Calibri" w:cs="Times New Roman" w:ascii="Times New Roman" w:hAnsi="Times New Roman"/>
          <w:sz w:val="24"/>
          <w:szCs w:val="24"/>
        </w:rPr>
        <w:t xml:space="preserve"> 2024</w:t>
      </w:r>
    </w:p>
    <w:p>
      <w:pPr>
        <w:pStyle w:val="Normal"/>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The Republic of Kazakhstan holds the second-largest uranium reserves in the world, following Australia. </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 </w:t>
      </w:r>
      <w:r>
        <w:rPr>
          <w:rFonts w:eastAsia="Calibri" w:cs="Times New Roman" w:ascii="Times New Roman" w:hAnsi="Times New Roman"/>
          <w:bCs/>
          <w:sz w:val="24"/>
          <w:szCs w:val="24"/>
          <w:lang w:val="kk-KZ"/>
        </w:rPr>
        <w:t xml:space="preserve">«NAC «Kazatomprom» JSC is the national operator of the Republic of Kazakhstan for uranium mining and processing. </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Since 2009, Kazakhstan has been the world leader in natural uranium production. </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"NAC Kazatomprom" JSC  includes 13 uranium mining enterprises, with their mines located in the Kyzylorda, Turkistan, and Akmola oblasts.  </w:t>
      </w:r>
    </w:p>
    <w:p>
      <w:pPr>
        <w:pStyle w:val="Normal"/>
        <w:spacing w:lineRule="auto" w:line="240" w:before="0" w:after="0"/>
        <w:ind w:firstLine="709"/>
        <w:jc w:val="both"/>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r>
    </w:p>
    <w:p>
      <w:pPr>
        <w:pStyle w:val="Normal"/>
        <w:spacing w:lineRule="auto" w:line="240" w:before="0" w:after="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t xml:space="preserve">«JV «South Mining Chemical Company» LLP (SMCC) </w:t>
      </w:r>
    </w:p>
    <w:p>
      <w:pPr>
        <w:pStyle w:val="Normal"/>
        <w:spacing w:lineRule="auto" w:line="240" w:before="0" w:after="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The uranium mining enterprise "JV «South Mining Chemical Company" </w:t>
      </w:r>
      <w:r>
        <w:rPr>
          <w:rFonts w:eastAsia="Calibri" w:cs="Times New Roman" w:ascii="Times New Roman" w:hAnsi="Times New Roman"/>
          <w:bCs/>
          <w:sz w:val="24"/>
          <w:szCs w:val="24"/>
          <w:lang w:val="en-US"/>
        </w:rPr>
        <w:t xml:space="preserve">LLP </w:t>
      </w:r>
      <w:r>
        <w:rPr>
          <w:rFonts w:eastAsia="Calibri" w:cs="Times New Roman" w:ascii="Times New Roman" w:hAnsi="Times New Roman"/>
          <w:bCs/>
          <w:sz w:val="24"/>
          <w:szCs w:val="24"/>
        </w:rPr>
        <w:t>was established in August 2014 for the purpose of exploration and uranium extraction at the Akdala and</w:t>
      </w:r>
      <w:r>
        <w:rPr>
          <w:rFonts w:eastAsia="Calibri" w:cs="Times New Roman" w:ascii="Times New Roman" w:hAnsi="Times New Roman"/>
          <w:bCs/>
          <w:sz w:val="24"/>
          <w:szCs w:val="24"/>
          <w:lang w:val="en-US"/>
        </w:rPr>
        <w:t xml:space="preserve"> Yuzhny </w:t>
      </w:r>
      <w:r>
        <w:rPr>
          <w:rFonts w:eastAsia="Calibri" w:cs="Times New Roman" w:ascii="Times New Roman" w:hAnsi="Times New Roman"/>
          <w:bCs/>
          <w:sz w:val="24"/>
          <w:szCs w:val="24"/>
        </w:rPr>
        <w:t>Inkai deposits.</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The Akdala deposit is located in the Suzak</w:t>
      </w:r>
      <w:r>
        <w:rPr>
          <w:rFonts w:eastAsia="Calibri" w:cs="Times New Roman" w:ascii="Times New Roman" w:hAnsi="Times New Roman"/>
          <w:bCs/>
          <w:sz w:val="24"/>
          <w:szCs w:val="24"/>
          <w:lang w:val="en-US"/>
        </w:rPr>
        <w:t xml:space="preserve"> Region </w:t>
      </w:r>
      <w:r>
        <w:rPr>
          <w:rFonts w:eastAsia="Calibri" w:cs="Times New Roman" w:ascii="Times New Roman" w:hAnsi="Times New Roman"/>
          <w:bCs/>
          <w:sz w:val="24"/>
          <w:szCs w:val="24"/>
        </w:rPr>
        <w:t xml:space="preserve">of Turkistan </w:t>
      </w:r>
      <w:r>
        <w:rPr>
          <w:rFonts w:eastAsia="Calibri" w:cs="Times New Roman" w:ascii="Times New Roman" w:hAnsi="Times New Roman"/>
          <w:bCs/>
          <w:sz w:val="24"/>
          <w:szCs w:val="24"/>
          <w:lang w:val="en-US"/>
        </w:rPr>
        <w:t>Oblast</w:t>
      </w:r>
      <w:r>
        <w:rPr>
          <w:rFonts w:eastAsia="Calibri" w:cs="Times New Roman" w:ascii="Times New Roman" w:hAnsi="Times New Roman"/>
          <w:bCs/>
          <w:sz w:val="24"/>
          <w:szCs w:val="24"/>
        </w:rPr>
        <w:t>, while the</w:t>
      </w:r>
      <w:r>
        <w:rPr>
          <w:rFonts w:eastAsia="Calibri" w:cs="Times New Roman" w:ascii="Times New Roman" w:hAnsi="Times New Roman"/>
          <w:bCs/>
          <w:sz w:val="24"/>
          <w:szCs w:val="24"/>
          <w:lang w:val="en-US"/>
        </w:rPr>
        <w:t xml:space="preserve"> Yuzhny </w:t>
      </w:r>
      <w:r>
        <w:rPr>
          <w:rFonts w:eastAsia="Calibri" w:cs="Times New Roman" w:ascii="Times New Roman" w:hAnsi="Times New Roman"/>
          <w:bCs/>
          <w:sz w:val="24"/>
          <w:szCs w:val="24"/>
        </w:rPr>
        <w:t>Inkai deposit lies on the border of Suzak</w:t>
      </w:r>
      <w:r>
        <w:rPr>
          <w:rFonts w:eastAsia="Calibri" w:cs="Times New Roman" w:ascii="Times New Roman" w:hAnsi="Times New Roman"/>
          <w:bCs/>
          <w:sz w:val="24"/>
          <w:szCs w:val="24"/>
          <w:lang w:val="en-US"/>
        </w:rPr>
        <w:t xml:space="preserve"> Region </w:t>
      </w:r>
      <w:r>
        <w:rPr>
          <w:rFonts w:eastAsia="Calibri" w:cs="Times New Roman" w:ascii="Times New Roman" w:hAnsi="Times New Roman"/>
          <w:bCs/>
          <w:sz w:val="24"/>
          <w:szCs w:val="24"/>
        </w:rPr>
        <w:t xml:space="preserve">(Turkistan </w:t>
      </w:r>
      <w:r>
        <w:rPr>
          <w:rFonts w:eastAsia="Calibri" w:cs="Times New Roman" w:ascii="Times New Roman" w:hAnsi="Times New Roman"/>
          <w:bCs/>
          <w:sz w:val="24"/>
          <w:szCs w:val="24"/>
          <w:lang w:val="en-US"/>
        </w:rPr>
        <w:t>Oblast</w:t>
      </w:r>
      <w:r>
        <w:rPr>
          <w:rFonts w:eastAsia="Calibri" w:cs="Times New Roman" w:ascii="Times New Roman" w:hAnsi="Times New Roman"/>
          <w:bCs/>
          <w:sz w:val="24"/>
          <w:szCs w:val="24"/>
        </w:rPr>
        <w:t>) and Shieli</w:t>
      </w:r>
      <w:r>
        <w:rPr>
          <w:rFonts w:eastAsia="Calibri" w:cs="Times New Roman" w:ascii="Times New Roman" w:hAnsi="Times New Roman"/>
          <w:bCs/>
          <w:sz w:val="24"/>
          <w:szCs w:val="24"/>
          <w:lang w:val="en-US"/>
        </w:rPr>
        <w:t xml:space="preserve"> Region </w:t>
      </w:r>
      <w:r>
        <w:rPr>
          <w:rFonts w:eastAsia="Calibri" w:cs="Times New Roman" w:ascii="Times New Roman" w:hAnsi="Times New Roman"/>
          <w:bCs/>
          <w:sz w:val="24"/>
          <w:szCs w:val="24"/>
        </w:rPr>
        <w:t xml:space="preserve">(Kyzylorda </w:t>
      </w:r>
      <w:r>
        <w:rPr>
          <w:rFonts w:eastAsia="Calibri" w:cs="Times New Roman" w:ascii="Times New Roman" w:hAnsi="Times New Roman"/>
          <w:bCs/>
          <w:sz w:val="24"/>
          <w:szCs w:val="24"/>
          <w:lang w:val="en-US"/>
        </w:rPr>
        <w:t>Oblast</w:t>
      </w:r>
      <w:r>
        <w:rPr>
          <w:rFonts w:eastAsia="Calibri" w:cs="Times New Roman" w:ascii="Times New Roman" w:hAnsi="Times New Roman"/>
          <w:bCs/>
          <w:sz w:val="24"/>
          <w:szCs w:val="24"/>
        </w:rPr>
        <w:t>).</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This area is affected by the Aral Sea crisis, which is associated with the drying of the sea and the wind-driven spread of salt and dust over long distances.</w:t>
        <w:br/>
        <w:t xml:space="preserve">Uranium extraction at the deposits is carried out using the in-situ leaching (ISL) method.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jc w:val="center"/>
        <w:rPr>
          <w:rFonts w:ascii="Times New Roman" w:hAnsi="Times New Roman" w:eastAsia="Calibri" w:cs="Times New Roman"/>
          <w:b/>
          <w:bCs/>
          <w:sz w:val="24"/>
          <w:szCs w:val="24"/>
        </w:rPr>
      </w:pPr>
      <w:r>
        <w:rPr>
          <w:rFonts w:eastAsia="Calibri" w:cs="Times New Roman" w:ascii="Times New Roman" w:hAnsi="Times New Roman"/>
          <w:b/>
          <w:bCs/>
          <w:sz w:val="24"/>
          <w:szCs w:val="24"/>
        </w:rPr>
        <w:t xml:space="preserve">In-situ leaching is considered the most environmentally friendly and safest method for mineral extraction.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At the geotechnological site of the «Akdala» and</w:t>
      </w:r>
      <w:r>
        <w:rPr>
          <w:rFonts w:eastAsia="Calibri" w:cs="Times New Roman" w:ascii="Times New Roman" w:hAnsi="Times New Roman"/>
          <w:bCs/>
          <w:sz w:val="24"/>
          <w:szCs w:val="24"/>
          <w:lang w:val="en-US"/>
        </w:rPr>
        <w:t xml:space="preserve"> “Yuzny </w:t>
      </w:r>
      <w:r>
        <w:rPr>
          <w:rFonts w:eastAsia="Calibri" w:cs="Times New Roman" w:ascii="Times New Roman" w:hAnsi="Times New Roman"/>
          <w:bCs/>
          <w:sz w:val="24"/>
          <w:szCs w:val="24"/>
        </w:rPr>
        <w:t xml:space="preserve">Inkai» deposits, drilling operations are carried out to construct production, injection, and monitoring wells. As sulfuric acid solutions pass through the ore-bearing horizon, they react with uranium minerals, leaching the uranium by converting it into a soluble form.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The pregnant solutions from the production wells are brought to the surface using submersible borehole pumps and delivered to the Pregnant Solution Reception Unit (PSRU), from where they are transported via a pipeline manifold to the pregnant solution settling tanks located at the mine’s industrial sites.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The clarified solutions from the settling tanks are then pumped by the central pumping station to the sorption section of the solution processing plant.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The final product at the «Akdala» deposit is commercial-grade desorbate. The final product at the</w:t>
      </w:r>
      <w:r>
        <w:rPr>
          <w:rFonts w:eastAsia="Calibri" w:cs="Times New Roman" w:ascii="Times New Roman" w:hAnsi="Times New Roman"/>
          <w:bCs/>
          <w:sz w:val="24"/>
          <w:szCs w:val="24"/>
          <w:lang w:val="en-US"/>
        </w:rPr>
        <w:t xml:space="preserve"> «Yuzny </w:t>
      </w:r>
      <w:r>
        <w:rPr>
          <w:rFonts w:eastAsia="Calibri" w:cs="Times New Roman" w:ascii="Times New Roman" w:hAnsi="Times New Roman"/>
          <w:bCs/>
          <w:sz w:val="24"/>
          <w:szCs w:val="24"/>
        </w:rPr>
        <w:t xml:space="preserve">Inkai» deposit is uranium oxide concentrate.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2622" w:leader="none"/>
        </w:tabs>
        <w:spacing w:lineRule="auto" w:line="240" w:before="0" w:after="0"/>
        <w:contextualSpacing/>
        <w:jc w:val="both"/>
        <w:rPr>
          <w:rFonts w:ascii="Times New Roman" w:hAnsi="Times New Roman" w:eastAsia="Times New Roman" w:cs="Times New Roman"/>
          <w:sz w:val="24"/>
          <w:szCs w:val="24"/>
          <w:shd w:fill="FFFFFF" w:val="clear"/>
          <w:lang w:val="kk-KZ" w:eastAsia="ru-RU"/>
        </w:rPr>
      </w:pPr>
      <w:r>
        <w:rPr/>
        <w:drawing>
          <wp:inline distT="0" distB="0" distL="0" distR="0">
            <wp:extent cx="6073775" cy="4296410"/>
            <wp:effectExtent l="0" t="0" r="0" b="0"/>
            <wp:docPr id="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
                    <pic:cNvPicPr>
                      <a:picLocks noChangeAspect="1" noChangeArrowheads="1"/>
                    </pic:cNvPicPr>
                  </pic:nvPicPr>
                  <pic:blipFill>
                    <a:blip r:embed="rId5"/>
                    <a:srcRect l="19881" t="36072" r="3469" b="17842"/>
                    <a:stretch>
                      <a:fillRect/>
                    </a:stretch>
                  </pic:blipFill>
                  <pic:spPr bwMode="auto">
                    <a:xfrm>
                      <a:off x="0" y="0"/>
                      <a:ext cx="6073775" cy="4296410"/>
                    </a:xfrm>
                    <a:prstGeom prst="rect">
                      <a:avLst/>
                    </a:prstGeom>
                  </pic:spPr>
                </pic:pic>
              </a:graphicData>
            </a:graphic>
          </wp:inline>
        </w:drawing>
      </w:r>
    </w:p>
    <w:p>
      <w:pPr>
        <w:pStyle w:val="Normal"/>
        <w:tabs>
          <w:tab w:val="clear" w:pos="708"/>
          <w:tab w:val="left" w:pos="2622" w:leader="none"/>
        </w:tabs>
        <w:spacing w:lineRule="auto" w:line="240" w:before="0" w:after="0"/>
        <w:contextualSpacing/>
        <w:jc w:val="both"/>
        <w:rPr>
          <w:rFonts w:ascii="Times New Roman" w:hAnsi="Times New Roman" w:eastAsia="Times New Roman" w:cs="Times New Roman"/>
          <w:sz w:val="24"/>
          <w:szCs w:val="24"/>
          <w:shd w:fill="FFFFFF" w:val="clear"/>
          <w:lang w:val="kk-KZ" w:eastAsia="ru-RU"/>
        </w:rPr>
      </w:pPr>
      <w:r>
        <w:rPr>
          <w:rFonts w:eastAsia="Times New Roman" w:cs="Times New Roman" w:ascii="Times New Roman" w:hAnsi="Times New Roman"/>
          <w:sz w:val="24"/>
          <w:szCs w:val="24"/>
          <w:shd w:fill="FFFFFF" w:val="clear"/>
          <w:lang w:val="kk-KZ" w:eastAsia="ru-RU"/>
        </w:rPr>
      </w:r>
    </w:p>
    <w:p>
      <w:pPr>
        <w:pStyle w:val="Normal"/>
        <w:tabs>
          <w:tab w:val="clear" w:pos="708"/>
          <w:tab w:val="left" w:pos="2622" w:leader="none"/>
        </w:tabs>
        <w:spacing w:lineRule="auto" w:line="240" w:before="0" w:after="0"/>
        <w:ind w:firstLine="709"/>
        <w:contextualSpacing/>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t xml:space="preserve">To prevent the release of solutions into the environment, injection and production wells are constructed using </w:t>
      </w:r>
      <w:r>
        <w:rPr>
          <w:rFonts w:eastAsia="Times New Roman" w:cs="Times New Roman" w:ascii="Times New Roman" w:hAnsi="Times New Roman"/>
          <w:b/>
          <w:bCs/>
          <w:sz w:val="24"/>
          <w:szCs w:val="24"/>
          <w:lang w:val="kk-KZ" w:eastAsia="ru-RU"/>
        </w:rPr>
        <w:t>acid-resistant materials</w:t>
      </w:r>
      <w:r>
        <w:rPr>
          <w:rFonts w:eastAsia="Times New Roman" w:cs="Times New Roman" w:ascii="Times New Roman" w:hAnsi="Times New Roman"/>
          <w:sz w:val="24"/>
          <w:szCs w:val="24"/>
          <w:lang w:val="kk-KZ" w:eastAsia="ru-RU"/>
        </w:rPr>
        <w:t xml:space="preserve">. All process solutions operate within a closed-loop circulation system, with </w:t>
      </w:r>
      <w:r>
        <w:rPr>
          <w:rFonts w:eastAsia="Times New Roman" w:cs="Times New Roman" w:ascii="Times New Roman" w:hAnsi="Times New Roman"/>
          <w:b/>
          <w:bCs/>
          <w:sz w:val="24"/>
          <w:szCs w:val="24"/>
          <w:lang w:val="kk-KZ" w:eastAsia="ru-RU"/>
        </w:rPr>
        <w:t>no</w:t>
      </w:r>
      <w:r>
        <w:rPr>
          <w:rFonts w:eastAsia="Times New Roman" w:cs="Times New Roman" w:ascii="Times New Roman" w:hAnsi="Times New Roman"/>
          <w:sz w:val="24"/>
          <w:szCs w:val="24"/>
          <w:lang w:val="kk-KZ" w:eastAsia="ru-RU"/>
        </w:rPr>
        <w:t xml:space="preserve"> </w:t>
      </w:r>
      <w:r>
        <w:rPr>
          <w:rFonts w:eastAsia="Times New Roman" w:cs="Times New Roman" w:ascii="Times New Roman" w:hAnsi="Times New Roman"/>
          <w:b/>
          <w:bCs/>
          <w:sz w:val="24"/>
          <w:szCs w:val="24"/>
          <w:lang w:val="kk-KZ" w:eastAsia="ru-RU"/>
        </w:rPr>
        <w:t>discharges into the environment</w:t>
      </w:r>
      <w:r>
        <w:rPr>
          <w:rFonts w:eastAsia="Times New Roman" w:cs="Times New Roman" w:ascii="Times New Roman" w:hAnsi="Times New Roman"/>
          <w:sz w:val="24"/>
          <w:szCs w:val="24"/>
          <w:lang w:val="kk-KZ" w:eastAsia="ru-RU"/>
        </w:rPr>
        <w:t xml:space="preserve">. </w:t>
      </w:r>
    </w:p>
    <w:p>
      <w:pPr>
        <w:pStyle w:val="Normal"/>
        <w:tabs>
          <w:tab w:val="clear" w:pos="708"/>
          <w:tab w:val="left" w:pos="2622" w:leader="none"/>
        </w:tabs>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All pipelines are located underground, with only the wellheads extending above the surface. The mine site is marked with informational and warning signs. </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76" w:before="0" w:after="200"/>
        <w:rPr>
          <w:rFonts w:ascii="Times New Roman" w:hAnsi="Times New Roman" w:eastAsia="Calibri" w:cs="Times New Roman"/>
          <w:bCs/>
          <w:sz w:val="24"/>
          <w:szCs w:val="24"/>
          <w:lang w:val="kk-KZ"/>
        </w:rPr>
      </w:pPr>
      <w:r>
        <w:rPr>
          <w:rFonts w:eastAsia="Times New Roman" w:cs="Times New Roman" w:ascii="Times New Roman" w:hAnsi="Times New Roman"/>
          <w:color w:val="000000"/>
          <w:w w:val="100"/>
          <w:sz w:val="0"/>
          <w:szCs w:val="0"/>
          <w:u w:val="none" w:color="000000"/>
          <w:shd w:fill="000000" w:val="clear"/>
          <w:lang w:val="x-none" w:eastAsia="x-none" w:bidi="x-none"/>
        </w:rPr>
        <w:t xml:space="preserve"> </w:t>
      </w:r>
      <w:r>
        <w:rPr/>
        <w:drawing>
          <wp:inline distT="0" distB="0" distL="0" distR="0">
            <wp:extent cx="5791200" cy="3255645"/>
            <wp:effectExtent l="0" t="0" r="0" b="0"/>
            <wp:docPr id="5" name="Рисунок 11" descr="V:\Темы 2021 г\ESAP\Брошюра\Фото\Полиг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V:\Темы 2021 г\ESAP\Брошюра\Фото\Полигон 1.JPG"/>
                    <pic:cNvPicPr>
                      <a:picLocks noChangeAspect="1" noChangeArrowheads="1"/>
                    </pic:cNvPicPr>
                  </pic:nvPicPr>
                  <pic:blipFill>
                    <a:blip r:embed="rId6"/>
                    <a:stretch>
                      <a:fillRect/>
                    </a:stretch>
                  </pic:blipFill>
                  <pic:spPr bwMode="auto">
                    <a:xfrm>
                      <a:off x="0" y="0"/>
                      <a:ext cx="5791200" cy="3255645"/>
                    </a:xfrm>
                    <a:prstGeom prst="rect">
                      <a:avLst/>
                    </a:prstGeom>
                  </pic:spPr>
                </pic:pic>
              </a:graphicData>
            </a:graphic>
          </wp:inline>
        </w:drawing>
      </w:r>
    </w:p>
    <w:p>
      <w:pPr>
        <w:pStyle w:val="Normal"/>
        <w:spacing w:lineRule="auto" w:line="276" w:before="0" w:after="200"/>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jc w:val="center"/>
        <w:rPr>
          <w:rFonts w:ascii="Times New Roman" w:hAnsi="Times New Roman" w:eastAsia="Calibri" w:cs="Times New Roman"/>
          <w:b/>
          <w:bCs/>
          <w:sz w:val="24"/>
          <w:szCs w:val="24"/>
        </w:rPr>
      </w:pPr>
      <w:r>
        <w:rPr>
          <w:rFonts w:eastAsia="Calibri" w:cs="Times New Roman" w:ascii="Times New Roman" w:hAnsi="Times New Roman"/>
          <w:b/>
          <w:bCs/>
          <w:sz w:val="24"/>
          <w:szCs w:val="24"/>
        </w:rPr>
        <w:t>The “Akdala” and “</w:t>
      </w:r>
      <w:r>
        <w:rPr>
          <w:rFonts w:eastAsia="Calibri" w:cs="Times New Roman" w:ascii="Times New Roman" w:hAnsi="Times New Roman"/>
          <w:b/>
          <w:bCs/>
          <w:sz w:val="24"/>
          <w:szCs w:val="24"/>
          <w:lang w:val="en-US"/>
        </w:rPr>
        <w:t>Yuzny</w:t>
      </w:r>
      <w:r>
        <w:rPr>
          <w:rFonts w:eastAsia="Calibri" w:cs="Times New Roman" w:ascii="Times New Roman" w:hAnsi="Times New Roman"/>
          <w:b/>
          <w:bCs/>
          <w:sz w:val="24"/>
          <w:szCs w:val="24"/>
        </w:rPr>
        <w:t xml:space="preserve"> Inkai” mines are classified </w:t>
      </w:r>
    </w:p>
    <w:p>
      <w:pPr>
        <w:pStyle w:val="Normal"/>
        <w:spacing w:lineRule="auto" w:line="240" w:before="0" w:after="0"/>
        <w:jc w:val="center"/>
        <w:rPr>
          <w:rFonts w:ascii="Times New Roman" w:hAnsi="Times New Roman" w:eastAsia="Calibri" w:cs="Times New Roman"/>
          <w:b/>
          <w:bCs/>
          <w:sz w:val="24"/>
          <w:szCs w:val="24"/>
        </w:rPr>
      </w:pPr>
      <w:r>
        <w:rPr>
          <w:rFonts w:eastAsia="Calibri" w:cs="Times New Roman" w:ascii="Times New Roman" w:hAnsi="Times New Roman"/>
          <w:b/>
          <w:bCs/>
          <w:sz w:val="24"/>
          <w:szCs w:val="24"/>
        </w:rPr>
        <w:t xml:space="preserve">as hazardous industrial facilities. </w:t>
      </w:r>
    </w:p>
    <w:p>
      <w:pPr>
        <w:pStyle w:val="Normal"/>
        <w:spacing w:lineRule="auto" w:line="240" w:before="0" w:after="0"/>
        <w:jc w:val="center"/>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40" w:before="0" w:after="0"/>
        <w:jc w:val="both"/>
        <w:rPr/>
      </w:pPr>
      <w:r>
        <w:rPr>
          <w:rFonts w:eastAsia="Calibri" w:cs="Times New Roman" w:ascii="Times New Roman" w:hAnsi="Times New Roman"/>
          <w:bCs/>
          <w:sz w:val="24"/>
          <w:szCs w:val="24"/>
        </w:rPr>
        <w:t xml:space="preserve">The local population is strictly prohibited from entering the production areas or allowing livestock to graze on the mine site. </w:t>
      </w:r>
    </w:p>
    <w:p>
      <w:pPr>
        <w:pStyle w:val="Normal"/>
        <w:spacing w:lineRule="auto" w:line="240" w:before="0" w:after="0"/>
        <w:jc w:val="both"/>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40" w:before="0" w:after="0"/>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76" w:before="0" w:after="200"/>
        <w:rPr>
          <w:rFonts w:ascii="Times New Roman" w:hAnsi="Times New Roman" w:eastAsia="Calibri" w:cs="Times New Roman"/>
          <w:b/>
          <w:bCs/>
          <w:sz w:val="24"/>
          <w:szCs w:val="24"/>
        </w:rPr>
      </w:pPr>
      <w:r>
        <w:rPr/>
        <w:drawing>
          <wp:inline distT="0" distB="0" distL="0" distR="0">
            <wp:extent cx="3581400" cy="3106420"/>
            <wp:effectExtent l="0" t="0" r="0" b="0"/>
            <wp:docPr id="6"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
                    <pic:cNvPicPr>
                      <a:picLocks noChangeAspect="1" noChangeArrowheads="1"/>
                    </pic:cNvPicPr>
                  </pic:nvPicPr>
                  <pic:blipFill>
                    <a:blip r:embed="rId7"/>
                    <a:stretch>
                      <a:fillRect/>
                    </a:stretch>
                  </pic:blipFill>
                  <pic:spPr bwMode="auto">
                    <a:xfrm>
                      <a:off x="0" y="0"/>
                      <a:ext cx="3581400" cy="3106420"/>
                    </a:xfrm>
                    <a:prstGeom prst="rect">
                      <a:avLst/>
                    </a:prstGeom>
                  </pic:spPr>
                </pic:pic>
              </a:graphicData>
            </a:graphic>
          </wp:inline>
        </w:drawing>
      </w:r>
    </w:p>
    <w:p>
      <w:pPr>
        <w:pStyle w:val="Normal"/>
        <w:spacing w:lineRule="auto" w:line="276" w:before="0" w:after="200"/>
        <w:rPr>
          <w:rFonts w:ascii="Times New Roman" w:hAnsi="Times New Roman" w:eastAsia="Calibri" w:cs="Times New Roman"/>
          <w:b/>
          <w:bCs/>
          <w:sz w:val="24"/>
          <w:szCs w:val="24"/>
        </w:rPr>
      </w:pPr>
      <w:r>
        <w:rPr/>
        <w:drawing>
          <wp:inline distT="0" distB="0" distL="0" distR="0">
            <wp:extent cx="3651885" cy="2574290"/>
            <wp:effectExtent l="0" t="0" r="0" b="0"/>
            <wp:docPr id="7" name="Рисунок 9" descr="InkaiK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InkaiKosm.jpg"/>
                    <pic:cNvPicPr>
                      <a:picLocks noChangeAspect="1" noChangeArrowheads="1"/>
                    </pic:cNvPicPr>
                  </pic:nvPicPr>
                  <pic:blipFill>
                    <a:blip r:embed="rId8"/>
                    <a:stretch>
                      <a:fillRect/>
                    </a:stretch>
                  </pic:blipFill>
                  <pic:spPr bwMode="auto">
                    <a:xfrm>
                      <a:off x="0" y="0"/>
                      <a:ext cx="3651885" cy="2574290"/>
                    </a:xfrm>
                    <a:prstGeom prst="rect">
                      <a:avLst/>
                    </a:prstGeom>
                  </pic:spPr>
                </pic:pic>
              </a:graphicData>
            </a:graphic>
          </wp:inline>
        </w:drawing>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Uranium and process solutions are radioactive and toxic; their entry into the human body </w:t>
      </w:r>
      <w:r>
        <w:rPr>
          <w:rFonts w:eastAsia="Calibri" w:cs="Times New Roman" w:ascii="Times New Roman" w:hAnsi="Times New Roman"/>
          <w:b/>
          <w:bCs/>
          <w:sz w:val="24"/>
          <w:szCs w:val="24"/>
          <w:lang w:val="kk-KZ"/>
        </w:rPr>
        <w:t>can cause poisoning.</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However, uranium is a naturally occurring (background) element and is present in very small amounts everywhere — in water, soil, air, and plants. </w:t>
      </w:r>
    </w:p>
    <w:p>
      <w:pPr>
        <w:pStyle w:val="Normal"/>
        <w:spacing w:lineRule="auto" w:line="240" w:before="0" w:after="0"/>
        <w:ind w:firstLine="709"/>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t xml:space="preserve">Low concentrations of uranium do not harm the human body. </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Mine personnel are reliably protected during work through the use of personal protective equipment. </w:t>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Throughout the entire history of the in-situ leaching (ISL) mines, there has not been a single recorded case of uranium exposure exceeding permissible dose limits among workers!</w:t>
      </w:r>
    </w:p>
    <w:p>
      <w:pPr>
        <w:pStyle w:val="Normal"/>
        <w:spacing w:lineRule="auto" w:line="240" w:before="0" w:after="0"/>
        <w:ind w:firstLine="709"/>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t xml:space="preserve">Kazhydromet conducts monthly radiation level measurements in the air. </w:t>
      </w:r>
    </w:p>
    <w:p>
      <w:pPr>
        <w:pStyle w:val="Normal"/>
        <w:spacing w:lineRule="auto" w:line="240" w:before="0" w:after="0"/>
        <w:ind w:firstLine="709"/>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40" w:before="0" w:after="0"/>
        <w:ind w:firstLine="709"/>
        <w:rPr>
          <w:rFonts w:ascii="Times New Roman" w:hAnsi="Times New Roman" w:eastAsia="Calibri" w:cs="Times New Roman"/>
          <w:b/>
          <w:bCs/>
          <w:sz w:val="24"/>
          <w:szCs w:val="24"/>
        </w:rPr>
      </w:pPr>
      <w:r>
        <w:rPr>
          <w:rFonts w:eastAsia="Calibri" w:cs="Times New Roman" w:ascii="Times New Roman" w:hAnsi="Times New Roman"/>
          <w:b/>
          <w:bCs/>
          <w:sz w:val="24"/>
          <w:szCs w:val="24"/>
        </w:rPr>
        <w:t xml:space="preserve">The safe natural background radiation level for humans is 20 µR/h (0.2 µSv/h). </w:t>
      </w:r>
    </w:p>
    <w:p>
      <w:pPr>
        <w:pStyle w:val="Normal"/>
        <w:spacing w:lineRule="auto" w:line="240" w:before="0" w:after="0"/>
        <w:ind w:firstLine="709"/>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40" w:before="0" w:after="0"/>
        <w:jc w:val="center"/>
        <w:rPr>
          <w:rFonts w:ascii="Times New Roman" w:hAnsi="Times New Roman" w:eastAsia="Calibri" w:cs="Times New Roman"/>
          <w:bCs/>
          <w:sz w:val="24"/>
          <w:szCs w:val="24"/>
          <w:lang w:val="kk-KZ"/>
        </w:rPr>
      </w:pPr>
      <w:r>
        <w:rPr/>
        <w:drawing>
          <wp:inline distT="0" distB="0" distL="0" distR="0">
            <wp:extent cx="3710305" cy="2783205"/>
            <wp:effectExtent l="0" t="0" r="0" b="0"/>
            <wp:docPr id="8"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9" descr=""/>
                    <pic:cNvPicPr>
                      <a:picLocks noChangeAspect="1" noChangeArrowheads="1"/>
                    </pic:cNvPicPr>
                  </pic:nvPicPr>
                  <pic:blipFill>
                    <a:blip r:embed="rId9"/>
                    <a:stretch>
                      <a:fillRect/>
                    </a:stretch>
                  </pic:blipFill>
                  <pic:spPr bwMode="auto">
                    <a:xfrm>
                      <a:off x="0" y="0"/>
                      <a:ext cx="3710305" cy="2783205"/>
                    </a:xfrm>
                    <a:prstGeom prst="rect">
                      <a:avLst/>
                    </a:prstGeom>
                  </pic:spPr>
                </pic:pic>
              </a:graphicData>
            </a:graphic>
          </wp:inline>
        </w:drawing>
      </w:r>
    </w:p>
    <w:p>
      <w:pPr>
        <w:pStyle w:val="Normal"/>
        <w:spacing w:lineRule="auto" w:line="240" w:before="0" w:after="0"/>
        <w:jc w:val="center"/>
        <w:rPr>
          <w:rFonts w:ascii="KZBookAntiqua" w:hAnsi="KZBookAntiqua" w:eastAsia="Calibri" w:cs="Times New Roman"/>
          <w:color w:val="231F20"/>
        </w:rPr>
      </w:pPr>
      <w:r>
        <w:rPr>
          <w:rFonts w:eastAsia="Calibri" w:cs="Times New Roman" w:ascii="KZBookAntiqua" w:hAnsi="KZBookAntiqua"/>
          <w:color w:val="231F20"/>
        </w:rPr>
      </w:r>
    </w:p>
    <w:p>
      <w:pPr>
        <w:pStyle w:val="Normal"/>
        <w:spacing w:lineRule="auto" w:line="240" w:before="0" w:after="0"/>
        <w:jc w:val="center"/>
        <w:rPr>
          <w:rFonts w:ascii="KZBookAntiqua" w:hAnsi="KZBookAntiqua" w:eastAsia="Calibri" w:cs="Times New Roman"/>
          <w:color w:val="231F20"/>
          <w:sz w:val="24"/>
          <w:szCs w:val="24"/>
        </w:rPr>
      </w:pPr>
      <w:r>
        <w:rPr>
          <w:rFonts w:eastAsia="Calibri" w:cs="Times New Roman" w:ascii="KZBookAntiqua" w:hAnsi="KZBookAntiqua"/>
          <w:color w:val="231F20"/>
          <w:sz w:val="24"/>
          <w:szCs w:val="24"/>
        </w:rPr>
        <w:t>The average air radiation background levels in the settlements of the Turkistan</w:t>
      </w:r>
      <w:r>
        <w:rPr>
          <w:rFonts w:eastAsia="Calibri" w:cs="Times New Roman" w:ascii="KZBookAntiqua" w:hAnsi="KZBookAntiqua"/>
          <w:color w:val="231F20"/>
          <w:sz w:val="24"/>
          <w:szCs w:val="24"/>
          <w:lang w:val="en-US"/>
        </w:rPr>
        <w:t xml:space="preserve"> oblast </w:t>
      </w:r>
      <w:r>
        <w:rPr>
          <w:rFonts w:eastAsia="Calibri" w:cs="Times New Roman" w:ascii="KZBookAntiqua" w:hAnsi="KZBookAntiqua"/>
          <w:color w:val="231F20"/>
          <w:sz w:val="24"/>
          <w:szCs w:val="24"/>
        </w:rPr>
        <w:t xml:space="preserve">range from 0.01 to 0.31 µSv/h, with an average of 0.11 µSv/h. </w:t>
      </w:r>
    </w:p>
    <w:p>
      <w:pPr>
        <w:pStyle w:val="Normal"/>
        <w:spacing w:lineRule="auto" w:line="240" w:before="0" w:after="0"/>
        <w:rPr>
          <w:rFonts w:ascii="KZBookAntiqua" w:hAnsi="KZBookAntiqua" w:eastAsia="Calibri" w:cs="Times New Roman"/>
          <w:color w:val="231F20"/>
          <w:sz w:val="24"/>
          <w:szCs w:val="24"/>
        </w:rPr>
      </w:pPr>
      <w:r>
        <w:rPr>
          <w:rFonts w:eastAsia="Calibri" w:cs="Times New Roman" w:ascii="KZBookAntiqua" w:hAnsi="KZBookAntiqua"/>
          <w:color w:val="231F20"/>
          <w:sz w:val="24"/>
          <w:szCs w:val="24"/>
        </w:rPr>
      </w:r>
    </w:p>
    <w:p>
      <w:pPr>
        <w:pStyle w:val="Normal"/>
        <w:spacing w:lineRule="auto" w:line="240" w:before="0" w:after="0"/>
        <w:jc w:val="center"/>
        <w:rPr>
          <w:rFonts w:ascii="KZBookAntiqua" w:hAnsi="KZBookAntiqua" w:eastAsia="Calibri" w:cs="Times New Roman"/>
          <w:b/>
          <w:color w:val="231F20"/>
          <w:sz w:val="24"/>
          <w:szCs w:val="24"/>
        </w:rPr>
      </w:pPr>
      <w:r>
        <w:rPr>
          <w:rFonts w:eastAsia="Calibri" w:cs="Times New Roman" w:ascii="KZBookAntiqua" w:hAnsi="KZBookAntiqua"/>
          <w:b/>
          <w:bCs/>
          <w:color w:val="231F20"/>
          <w:sz w:val="24"/>
          <w:szCs w:val="24"/>
        </w:rPr>
        <w:t>Overall, the radiation situation in the Turkistan</w:t>
      </w:r>
      <w:r>
        <w:rPr>
          <w:rFonts w:eastAsia="Calibri" w:cs="Times New Roman" w:ascii="KZBookAntiqua" w:hAnsi="KZBookAntiqua"/>
          <w:b/>
          <w:bCs/>
          <w:color w:val="231F20"/>
          <w:sz w:val="24"/>
          <w:szCs w:val="24"/>
          <w:lang w:val="en-US"/>
        </w:rPr>
        <w:t xml:space="preserve"> oblast </w:t>
      </w:r>
      <w:r>
        <w:rPr>
          <w:rFonts w:eastAsia="Calibri" w:cs="Times New Roman" w:ascii="KZBookAntiqua" w:hAnsi="KZBookAntiqua"/>
          <w:b/>
          <w:bCs/>
          <w:color w:val="231F20"/>
          <w:sz w:val="24"/>
          <w:szCs w:val="24"/>
        </w:rPr>
        <w:t xml:space="preserve">remains within acceptable limits and complies with hygienic standards and regulations. </w:t>
      </w:r>
    </w:p>
    <w:p>
      <w:pPr>
        <w:pStyle w:val="Normal"/>
        <w:spacing w:lineRule="auto" w:line="240" w:before="0" w:after="0"/>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t xml:space="preserve">Atmospheric Air </w:t>
      </w:r>
    </w:p>
    <w:p>
      <w:pPr>
        <w:pStyle w:val="Normal"/>
        <w:spacing w:lineRule="auto" w:line="240" w:before="0" w:after="0"/>
        <w:ind w:firstLine="709"/>
        <w:jc w:val="both"/>
        <w:rPr>
          <w:rFonts w:ascii="KZBookAntiqua" w:hAnsi="KZBookAntiqua" w:eastAsia="Calibri" w:cs="Times New Roman"/>
          <w:color w:val="231F20"/>
          <w:sz w:val="24"/>
          <w:szCs w:val="24"/>
        </w:rPr>
      </w:pPr>
      <w:r>
        <w:rPr>
          <w:rFonts w:eastAsia="Calibri" w:cs="Times New Roman" w:ascii="KZBookAntiqua" w:hAnsi="KZBookAntiqua"/>
          <w:color w:val="231F20"/>
          <w:sz w:val="24"/>
          <w:szCs w:val="24"/>
        </w:rPr>
      </w:r>
    </w:p>
    <w:p>
      <w:pPr>
        <w:pStyle w:val="Normal"/>
        <w:spacing w:lineRule="auto" w:line="240" w:before="0" w:after="0"/>
        <w:ind w:firstLine="709"/>
        <w:jc w:val="both"/>
        <w:rPr>
          <w:rFonts w:ascii="KZBookAntiqua" w:hAnsi="KZBookAntiqua" w:eastAsia="Calibri" w:cs="Times New Roman"/>
          <w:color w:val="231F20"/>
          <w:sz w:val="24"/>
          <w:szCs w:val="24"/>
        </w:rPr>
      </w:pPr>
      <w:r>
        <w:rPr>
          <w:rFonts w:eastAsia="Calibri" w:cs="Times New Roman" w:ascii="KZBookAntiqua" w:hAnsi="KZBookAntiqua"/>
          <w:color w:val="231F20"/>
          <w:sz w:val="24"/>
          <w:szCs w:val="24"/>
        </w:rPr>
        <w:t>The main sources of air pollution in the Turkistan</w:t>
      </w:r>
      <w:r>
        <w:rPr>
          <w:rFonts w:eastAsia="Calibri" w:cs="Times New Roman" w:ascii="KZBookAntiqua" w:hAnsi="KZBookAntiqua"/>
          <w:color w:val="231F20"/>
          <w:sz w:val="24"/>
          <w:szCs w:val="24"/>
          <w:lang w:val="en-US"/>
        </w:rPr>
        <w:t xml:space="preserve"> oblast </w:t>
      </w:r>
      <w:r>
        <w:rPr>
          <w:rFonts w:eastAsia="Calibri" w:cs="Times New Roman" w:ascii="KZBookAntiqua" w:hAnsi="KZBookAntiqua"/>
          <w:color w:val="231F20"/>
          <w:sz w:val="24"/>
          <w:szCs w:val="24"/>
        </w:rPr>
        <w:t xml:space="preserve">are cotton processing plants, oil pumping facilities, natural gas transportation enterprises, heat-generating boiler plants, and motor vehicles. </w:t>
      </w:r>
    </w:p>
    <w:p>
      <w:pPr>
        <w:pStyle w:val="Normal"/>
        <w:spacing w:lineRule="auto" w:line="240" w:before="0" w:after="0"/>
        <w:jc w:val="center"/>
        <w:rPr>
          <w:rFonts w:ascii="KZBookAntiqua" w:hAnsi="KZBookAntiqua" w:eastAsia="Calibri" w:cs="Times New Roman"/>
          <w:b/>
          <w:color w:val="231F20"/>
          <w:sz w:val="24"/>
          <w:szCs w:val="24"/>
        </w:rPr>
      </w:pPr>
      <w:r>
        <w:rPr>
          <w:rFonts w:eastAsia="Calibri" w:cs="Times New Roman" w:ascii="KZBookAntiqua" w:hAnsi="KZBookAntiqua"/>
          <w:b/>
          <w:color w:val="231F20"/>
          <w:sz w:val="24"/>
          <w:szCs w:val="24"/>
        </w:rPr>
        <w:t xml:space="preserve">The contribution of enterprises belonging to «NAC «Kazatomprom» JSC to the total air pollution in the Republic of Kazakhstan is 0.076%. </w:t>
      </w:r>
    </w:p>
    <w:p>
      <w:pPr>
        <w:pStyle w:val="Normal"/>
        <w:spacing w:lineRule="auto" w:line="240" w:before="0" w:after="0"/>
        <w:jc w:val="center"/>
        <w:rPr>
          <w:rFonts w:ascii="KZBookAntiqua" w:hAnsi="KZBookAntiqua" w:eastAsia="Calibri" w:cs="Times New Roman"/>
          <w:color w:val="231F20"/>
          <w:sz w:val="24"/>
          <w:szCs w:val="24"/>
        </w:rPr>
      </w:pPr>
      <w:r>
        <w:rPr>
          <w:rFonts w:eastAsia="Calibri" w:cs="Times New Roman" w:ascii="KZBookAntiqua" w:hAnsi="KZBookAntiqua"/>
          <w:color w:val="231F20"/>
          <w:sz w:val="24"/>
          <w:szCs w:val="24"/>
        </w:rPr>
      </w:r>
    </w:p>
    <w:p>
      <w:pPr>
        <w:pStyle w:val="Normal"/>
        <w:spacing w:lineRule="auto" w:line="240" w:before="0" w:after="0"/>
        <w:jc w:val="center"/>
        <w:rPr>
          <w:rFonts w:ascii="KZBookAntiqua" w:hAnsi="KZBookAntiqua" w:eastAsia="Calibri" w:cs="Times New Roman"/>
          <w:b/>
          <w:color w:themeColor="accent1" w:val="4472C4"/>
          <w:sz w:val="24"/>
          <w:szCs w:val="24"/>
        </w:rPr>
      </w:pPr>
      <w:r>
        <w:rPr>
          <w:rFonts w:eastAsia="Calibri" w:cs="Times New Roman" w:ascii="KZBookAntiqua" w:hAnsi="KZBookAntiqua"/>
          <w:b/>
          <w:color w:themeColor="accent1" w:val="4472C4"/>
          <w:sz w:val="24"/>
          <w:szCs w:val="24"/>
        </w:rPr>
        <w:t xml:space="preserve">There have been no recorded cases of high or extremely high levels of atmospheric air pollution in the Turkistan </w:t>
      </w:r>
      <w:r>
        <w:rPr>
          <w:rFonts w:eastAsia="Calibri" w:cs="Times New Roman" w:ascii="KZBookAntiqua" w:hAnsi="KZBookAntiqua"/>
          <w:b/>
          <w:color w:themeColor="accent1" w:val="4472C4"/>
          <w:sz w:val="24"/>
          <w:szCs w:val="24"/>
          <w:lang w:val="en-US"/>
        </w:rPr>
        <w:t>oblast</w:t>
      </w:r>
      <w:r>
        <w:rPr>
          <w:rFonts w:eastAsia="Calibri" w:cs="Times New Roman" w:ascii="KZBookAntiqua" w:hAnsi="KZBookAntiqua"/>
          <w:b/>
          <w:color w:themeColor="accent1" w:val="4472C4"/>
          <w:sz w:val="24"/>
          <w:szCs w:val="24"/>
        </w:rPr>
        <w:t xml:space="preserve">. </w:t>
      </w:r>
    </w:p>
    <w:p>
      <w:pPr>
        <w:pStyle w:val="Normal"/>
        <w:spacing w:lineRule="auto" w:line="240" w:before="0" w:after="0"/>
        <w:jc w:val="center"/>
        <w:rPr>
          <w:rFonts w:ascii="Times New Roman" w:hAnsi="Times New Roman" w:eastAsia="Calibri" w:cs="Times New Roman"/>
          <w:b/>
          <w:bCs/>
          <w:color w:themeColor="accent1" w:val="4472C4"/>
          <w:sz w:val="24"/>
          <w:szCs w:val="24"/>
          <w:lang w:val="kk-KZ"/>
        </w:rPr>
      </w:pPr>
      <w:r>
        <w:rPr>
          <w:rFonts w:eastAsia="Calibri" w:cs="Times New Roman" w:ascii="Times New Roman" w:hAnsi="Times New Roman"/>
          <w:b/>
          <w:bCs/>
          <w:color w:themeColor="accent1" w:val="4472C4"/>
          <w:sz w:val="24"/>
          <w:szCs w:val="24"/>
          <w:lang w:val="kk-KZ"/>
        </w:rPr>
      </w:r>
    </w:p>
    <w:p>
      <w:pPr>
        <w:pStyle w:val="Normal"/>
        <w:spacing w:lineRule="auto" w:line="240" w:before="0" w:after="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t xml:space="preserve">Water Resources </w:t>
      </w:r>
    </w:p>
    <w:p>
      <w:pPr>
        <w:pStyle w:val="Normal"/>
        <w:spacing w:lineRule="auto" w:line="240" w:before="0" w:after="0"/>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ind w:firstLine="709"/>
        <w:jc w:val="both"/>
        <w:rPr>
          <w:rFonts w:ascii="Times New Roman" w:hAnsi="Times New Roman"/>
          <w:sz w:val="24"/>
          <w:szCs w:val="24"/>
        </w:rPr>
      </w:pPr>
      <w:r>
        <w:rPr>
          <w:rFonts w:eastAsia="Calibri" w:cs="Times New Roman" w:ascii="Times New Roman" w:hAnsi="Times New Roman"/>
          <w:color w:val="231F20"/>
          <w:sz w:val="24"/>
          <w:szCs w:val="24"/>
        </w:rPr>
        <w:t>The Turkistan</w:t>
      </w:r>
      <w:r>
        <w:rPr>
          <w:rFonts w:eastAsia="Calibri" w:cs="Times New Roman" w:ascii="Times New Roman" w:hAnsi="Times New Roman"/>
          <w:color w:val="231F20"/>
          <w:sz w:val="24"/>
          <w:szCs w:val="24"/>
          <w:lang w:val="en-US"/>
        </w:rPr>
        <w:t xml:space="preserve"> oblast </w:t>
      </w:r>
      <w:r>
        <w:rPr>
          <w:rFonts w:eastAsia="Calibri" w:cs="Times New Roman" w:ascii="Times New Roman" w:hAnsi="Times New Roman"/>
          <w:color w:val="231F20"/>
          <w:sz w:val="24"/>
          <w:szCs w:val="24"/>
        </w:rPr>
        <w:t xml:space="preserve">is home to 118 small rivers with a total length of over 2,200 km, 25 lakes, and 30 reservoirs.  </w:t>
      </w:r>
    </w:p>
    <w:p>
      <w:pPr>
        <w:pStyle w:val="Normal"/>
        <w:spacing w:lineRule="auto" w:line="240" w:before="0" w:after="0"/>
        <w:ind w:firstLine="709"/>
        <w:jc w:val="both"/>
        <w:rPr>
          <w:rFonts w:ascii="Times New Roman" w:hAnsi="Times New Roman"/>
          <w:sz w:val="24"/>
          <w:szCs w:val="24"/>
        </w:rPr>
      </w:pPr>
      <w:r>
        <w:rPr>
          <w:rFonts w:eastAsia="Calibri" w:cs="Times New Roman" w:ascii="Times New Roman" w:hAnsi="Times New Roman"/>
          <w:color w:val="231F20"/>
          <w:sz w:val="24"/>
          <w:szCs w:val="24"/>
        </w:rPr>
        <w:t xml:space="preserve">The major river of the region is the Syr Darya (total length: 2,219 km, with 1,400 km within Kazakhstan), along with its tributaries—Kurkeles, Keles, Arys, Bugun, and other smaller rivers flowing from the southern slopes of the Karatau Range, as well as the Shu River. There are many small, mostly saline lakes, with the largest being Akzhaikyn, Akzhar, Kaldykol, among others. </w:t>
      </w:r>
    </w:p>
    <w:p>
      <w:pPr>
        <w:pStyle w:val="BodyText"/>
        <w:spacing w:lineRule="auto" w:line="240" w:before="0" w:after="0"/>
        <w:ind w:firstLine="709"/>
        <w:jc w:val="both"/>
        <w:rPr/>
      </w:pPr>
      <w:r>
        <w:rPr>
          <w:rFonts w:eastAsia="Calibri" w:cs="Times New Roman" w:ascii="Times New Roman" w:hAnsi="Times New Roman"/>
          <w:color w:val="231F20"/>
          <w:sz w:val="24"/>
          <w:szCs w:val="24"/>
        </w:rPr>
        <w:t>According to the Unified Classification, the water quality in the Turkistan region is assessed as follows:</w:t>
      </w:r>
      <w:r>
        <w:rPr>
          <w:rFonts w:eastAsia="Calibri" w:cs="Times New Roman" w:ascii="Times New Roman" w:hAnsi="Times New Roman"/>
          <w:b w:val="false"/>
          <w:bCs w:val="false"/>
          <w:color w:val="231F20"/>
          <w:sz w:val="24"/>
          <w:szCs w:val="24"/>
        </w:rPr>
        <w:t xml:space="preserve"> </w:t>
      </w:r>
      <w:r>
        <w:rPr>
          <w:rStyle w:val="Strong"/>
          <w:rFonts w:ascii="Times New Roman" w:hAnsi="Times New Roman"/>
          <w:b w:val="false"/>
          <w:bCs w:val="false"/>
          <w:sz w:val="24"/>
          <w:szCs w:val="24"/>
        </w:rPr>
        <w:t>Class 1 (very clean):</w:t>
      </w:r>
      <w:r>
        <w:rPr>
          <w:rFonts w:ascii="Times New Roman" w:hAnsi="Times New Roman"/>
          <w:b w:val="false"/>
          <w:bCs w:val="false"/>
          <w:sz w:val="24"/>
          <w:szCs w:val="24"/>
        </w:rPr>
        <w:t xml:space="preserve"> Aksu and Bugun Rivers; </w:t>
      </w:r>
      <w:r>
        <w:rPr>
          <w:rStyle w:val="Strong"/>
          <w:rFonts w:ascii="Times New Roman" w:hAnsi="Times New Roman"/>
          <w:b w:val="false"/>
          <w:bCs w:val="false"/>
          <w:sz w:val="24"/>
          <w:szCs w:val="24"/>
        </w:rPr>
        <w:t>Class 3 (polluted):</w:t>
      </w:r>
      <w:r>
        <w:rPr>
          <w:rFonts w:ascii="Times New Roman" w:hAnsi="Times New Roman"/>
          <w:b w:val="false"/>
          <w:bCs w:val="false"/>
          <w:sz w:val="24"/>
          <w:szCs w:val="24"/>
        </w:rPr>
        <w:t xml:space="preserve"> Badam and Arys Rivers; </w:t>
      </w:r>
      <w:r>
        <w:rPr>
          <w:rStyle w:val="Strong"/>
          <w:rFonts w:ascii="Times New Roman" w:hAnsi="Times New Roman"/>
          <w:b w:val="false"/>
          <w:bCs w:val="false"/>
          <w:sz w:val="24"/>
          <w:szCs w:val="24"/>
        </w:rPr>
        <w:t>Class 4 (dirty):</w:t>
      </w:r>
      <w:r>
        <w:rPr>
          <w:rFonts w:ascii="Times New Roman" w:hAnsi="Times New Roman"/>
          <w:sz w:val="24"/>
          <w:szCs w:val="24"/>
        </w:rPr>
        <w:t xml:space="preserve"> Syr Darya, Keles Rivers, and Shardara Reservoir; </w:t>
      </w:r>
      <w:r>
        <w:rPr>
          <w:rStyle w:val="Strong"/>
          <w:rFonts w:ascii="Times New Roman" w:hAnsi="Times New Roman"/>
          <w:b w:val="false"/>
          <w:bCs w:val="false"/>
          <w:sz w:val="24"/>
          <w:szCs w:val="24"/>
        </w:rPr>
        <w:t>Class 5 (very dirty):</w:t>
      </w:r>
      <w:r>
        <w:rPr>
          <w:rFonts w:ascii="Times New Roman" w:hAnsi="Times New Roman"/>
          <w:b w:val="false"/>
          <w:bCs w:val="false"/>
          <w:sz w:val="24"/>
          <w:szCs w:val="24"/>
        </w:rPr>
        <w:t xml:space="preserve"> </w:t>
      </w:r>
      <w:r>
        <w:rPr>
          <w:rFonts w:ascii="Times New Roman" w:hAnsi="Times New Roman"/>
          <w:sz w:val="24"/>
          <w:szCs w:val="24"/>
        </w:rPr>
        <w:t>Katta Bugun River.</w:t>
      </w:r>
    </w:p>
    <w:p>
      <w:pPr>
        <w:pStyle w:val="BodyText"/>
        <w:spacing w:before="0" w:after="0"/>
        <w:rPr/>
      </w:pPr>
      <w:r>
        <w:rPr/>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ind w:firstLine="709"/>
        <w:jc w:val="both"/>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t xml:space="preserve">Land Resources </w:t>
      </w:r>
    </w:p>
    <w:p>
      <w:pPr>
        <w:pStyle w:val="Normal"/>
        <w:spacing w:lineRule="auto" w:line="240" w:before="0" w:after="0"/>
        <w:rPr>
          <w:rFonts w:ascii="Times New Roman" w:hAnsi="Times New Roman" w:eastAsia="Calibri" w:cs="Times New Roman"/>
          <w:bCs/>
          <w:sz w:val="24"/>
          <w:szCs w:val="24"/>
          <w:lang w:val="kk-KZ"/>
        </w:rPr>
      </w:pPr>
      <w:r>
        <w:rPr>
          <w:rFonts w:eastAsia="Calibri" w:cs="Times New Roman" w:ascii="Times New Roman" w:hAnsi="Times New Roman"/>
          <w:bCs/>
          <w:sz w:val="24"/>
          <w:szCs w:val="24"/>
          <w:lang w:val="kk-KZ"/>
        </w:rPr>
      </w:r>
    </w:p>
    <w:p>
      <w:pPr>
        <w:pStyle w:val="Normal"/>
        <w:spacing w:lineRule="auto" w:line="240" w:before="0" w:after="0"/>
        <w:ind w:firstLine="709"/>
        <w:jc w:val="both"/>
        <w:rPr>
          <w:rFonts w:ascii="KZBookAntiqua" w:hAnsi="KZBookAntiqua" w:eastAsia="Calibri" w:cs="Times New Roman"/>
          <w:sz w:val="24"/>
          <w:szCs w:val="24"/>
        </w:rPr>
      </w:pPr>
      <w:r>
        <w:rPr>
          <w:rFonts w:eastAsia="Calibri" w:cs="Times New Roman" w:ascii="KZBookAntiqua" w:hAnsi="KZBookAntiqua"/>
          <w:sz w:val="24"/>
          <w:szCs w:val="24"/>
        </w:rPr>
        <w:t>The largest portion of the land fund in the Turkistan</w:t>
      </w:r>
      <w:r>
        <w:rPr>
          <w:rFonts w:eastAsia="Calibri" w:cs="Times New Roman" w:ascii="KZBookAntiqua" w:hAnsi="KZBookAntiqua"/>
          <w:sz w:val="24"/>
          <w:szCs w:val="24"/>
          <w:lang w:val="en-US"/>
        </w:rPr>
        <w:t xml:space="preserve"> oblast </w:t>
      </w:r>
      <w:r>
        <w:rPr>
          <w:rFonts w:eastAsia="Calibri" w:cs="Times New Roman" w:ascii="KZBookAntiqua" w:hAnsi="KZBookAntiqua"/>
          <w:sz w:val="24"/>
          <w:szCs w:val="24"/>
        </w:rPr>
        <w:t xml:space="preserve">is made up of reserve lands (unused land), forest fund lands, and agricultural lands. </w:t>
      </w:r>
    </w:p>
    <w:p>
      <w:pPr>
        <w:pStyle w:val="Normal"/>
        <w:spacing w:lineRule="auto" w:line="240" w:before="0" w:after="0"/>
        <w:rPr>
          <w:rFonts w:ascii="KZBookAntiqua" w:hAnsi="KZBookAntiqua" w:eastAsia="Calibri" w:cs="Times New Roman"/>
          <w:sz w:val="24"/>
          <w:szCs w:val="24"/>
        </w:rPr>
      </w:pPr>
      <w:r>
        <w:rPr>
          <w:rFonts w:eastAsia="Calibri" w:cs="Times New Roman" w:ascii="KZBookAntiqua" w:hAnsi="KZBookAntiqua"/>
          <w:sz w:val="24"/>
          <w:szCs w:val="24"/>
        </w:rPr>
      </w:r>
    </w:p>
    <w:p>
      <w:pPr>
        <w:pStyle w:val="Normal"/>
        <w:spacing w:lineRule="auto" w:line="240" w:before="0" w:after="0"/>
        <w:rPr>
          <w:rFonts w:ascii="Times New Roman" w:hAnsi="Times New Roman" w:eastAsia="Calibri" w:cs="Times New Roman"/>
          <w:bCs/>
          <w:sz w:val="24"/>
          <w:szCs w:val="24"/>
          <w:lang w:val="kk-KZ"/>
        </w:rPr>
      </w:pPr>
      <w:r>
        <w:rPr/>
        <w:drawing>
          <wp:inline distT="0" distB="0" distL="0" distR="0">
            <wp:extent cx="5939790" cy="3448685"/>
            <wp:effectExtent l="0" t="0" r="0" b="0"/>
            <wp:docPr id="9" name="Диаграмма 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spacing w:lineRule="auto" w:line="240" w:before="0" w:after="0"/>
        <w:jc w:val="center"/>
        <w:rPr>
          <w:rFonts w:ascii="Times New Roman" w:hAnsi="Times New Roman" w:eastAsia="Calibri" w:cs="Times New Roman"/>
          <w:bCs/>
          <w:sz w:val="24"/>
          <w:szCs w:val="24"/>
          <w:lang w:val="kk-KZ"/>
        </w:rPr>
      </w:pPr>
      <w:r>
        <w:rPr/>
      </w:r>
    </w:p>
    <w:p>
      <w:pPr>
        <w:pStyle w:val="Normal"/>
        <w:spacing w:lineRule="auto" w:line="240" w:before="0" w:after="0"/>
        <w:jc w:val="center"/>
        <w:rPr>
          <w:rFonts w:ascii="Times New Roman" w:hAnsi="Times New Roman" w:eastAsia="Calibri" w:cs="Times New Roman"/>
          <w:bCs/>
          <w:sz w:val="24"/>
          <w:szCs w:val="24"/>
          <w:lang w:val="kk-KZ"/>
        </w:rPr>
      </w:pPr>
      <w:r>
        <w:rPr>
          <w:rFonts w:eastAsia="Calibri" w:cs="Times New Roman" w:ascii="Times New Roman" w:hAnsi="Times New Roman"/>
          <w:b/>
          <w:bCs/>
          <w:sz w:val="24"/>
          <w:szCs w:val="24"/>
          <w:lang w:val="en-US"/>
        </w:rPr>
        <w:t>*</w:t>
      </w:r>
      <w:r>
        <w:rPr>
          <w:rFonts w:eastAsia="Calibri" w:cs="Times New Roman" w:ascii="Times New Roman" w:hAnsi="Times New Roman"/>
          <w:b/>
          <w:bCs/>
          <w:sz w:val="24"/>
          <w:szCs w:val="24"/>
        </w:rPr>
        <w:t xml:space="preserve">Data taken from the National Report on the State of the Environment and the Use of Natural Resources of the Republic of Kazakhstan for 2022. </w:t>
      </w:r>
    </w:p>
    <w:p>
      <w:pPr>
        <w:pStyle w:val="Normal"/>
        <w:spacing w:lineRule="auto" w:line="276" w:before="0" w:after="20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r>
    </w:p>
    <w:p>
      <w:pPr>
        <w:pStyle w:val="Normal"/>
        <w:spacing w:lineRule="auto" w:line="276" w:before="0" w:after="200"/>
        <w:jc w:val="center"/>
        <w:rPr>
          <w:rFonts w:ascii="Times New Roman" w:hAnsi="Times New Roman" w:eastAsia="Calibri" w:cs="Times New Roman"/>
          <w:b/>
          <w:bCs/>
          <w:sz w:val="24"/>
          <w:szCs w:val="24"/>
        </w:rPr>
      </w:pPr>
      <w:r>
        <w:rPr>
          <w:rFonts w:eastAsia="Calibri" w:cs="Times New Roman" w:ascii="Times New Roman" w:hAnsi="Times New Roman"/>
          <w:b/>
          <w:bCs/>
          <w:sz w:val="24"/>
          <w:szCs w:val="24"/>
        </w:rPr>
        <w:t xml:space="preserve">Hygiene standards </w:t>
      </w:r>
    </w:p>
    <w:p>
      <w:pPr>
        <w:pStyle w:val="Normal"/>
        <w:spacing w:lineRule="auto" w:line="276" w:before="0" w:after="200"/>
        <w:rPr>
          <w:rFonts w:ascii="Times New Roman" w:hAnsi="Times New Roman" w:eastAsia="Calibri" w:cs="Times New Roman"/>
          <w:b/>
          <w:bCs/>
          <w:sz w:val="24"/>
          <w:szCs w:val="24"/>
        </w:rPr>
      </w:pPr>
      <w:r>
        <w:rPr>
          <w:rFonts w:eastAsia="Calibri" w:cs="Times New Roman" w:ascii="Times New Roman" w:hAnsi="Times New Roman"/>
          <w:b/>
          <w:bCs/>
          <w:sz w:val="24"/>
          <w:szCs w:val="24"/>
        </w:rPr>
        <w:t xml:space="preserve">Water for household purposes and drinking: </w:t>
      </w:r>
    </w:p>
    <w:p>
      <w:pPr>
        <w:pStyle w:val="Normal"/>
        <w:spacing w:lineRule="auto" w:line="276" w:before="0" w:after="200"/>
        <w:rPr>
          <w:b w:val="false"/>
          <w:bCs w:val="false"/>
        </w:rPr>
      </w:pPr>
      <w:r>
        <w:rPr>
          <w:rFonts w:eastAsia="Calibri" w:cs="Times New Roman" w:ascii="Times New Roman" w:hAnsi="Times New Roman"/>
          <w:b w:val="false"/>
          <w:bCs w:val="false"/>
          <w:sz w:val="24"/>
          <w:szCs w:val="24"/>
        </w:rPr>
        <w:t xml:space="preserve">salts up to 1 g /l, </w:t>
      </w:r>
    </w:p>
    <w:p>
      <w:pPr>
        <w:pStyle w:val="Normal"/>
        <w:spacing w:lineRule="auto" w:line="276" w:before="0" w:after="200"/>
        <w:rPr>
          <w:b w:val="false"/>
          <w:bCs w:val="false"/>
        </w:rPr>
      </w:pPr>
      <w:r>
        <w:rPr>
          <w:rFonts w:eastAsia="Calibri" w:cs="Times New Roman" w:ascii="Times New Roman" w:hAnsi="Times New Roman"/>
          <w:b w:val="false"/>
          <w:bCs w:val="false"/>
          <w:sz w:val="24"/>
          <w:szCs w:val="24"/>
        </w:rPr>
        <w:t xml:space="preserve">acidity 6-9 units. </w:t>
      </w:r>
    </w:p>
    <w:p>
      <w:pPr>
        <w:pStyle w:val="Normal"/>
        <w:spacing w:lineRule="auto" w:line="276" w:before="0" w:after="200"/>
        <w:rPr>
          <w:b w:val="false"/>
          <w:bCs w:val="false"/>
        </w:rPr>
      </w:pPr>
      <w:r>
        <w:rPr>
          <w:rFonts w:eastAsia="Calibri" w:cs="Times New Roman" w:ascii="Times New Roman" w:hAnsi="Times New Roman"/>
          <w:b w:val="false"/>
          <w:bCs w:val="false"/>
          <w:sz w:val="24"/>
          <w:szCs w:val="24"/>
        </w:rPr>
        <w:t xml:space="preserve">radioactive background (alpha activity + beta activity) 1.1 Bq/l </w:t>
      </w:r>
    </w:p>
    <w:p>
      <w:pPr>
        <w:pStyle w:val="Normal"/>
        <w:tabs>
          <w:tab w:val="clear" w:pos="708"/>
          <w:tab w:val="left" w:pos="993" w:leader="none"/>
        </w:tabs>
        <w:spacing w:lineRule="auto" w:line="240" w:before="0" w:after="0"/>
        <w:contextualSpacing/>
        <w:rPr>
          <w:rFonts w:ascii="Times New Roman" w:hAnsi="Times New Roman" w:eastAsia="Calibri" w:cs="Times New Roman"/>
          <w:b/>
          <w:bCs/>
          <w:sz w:val="24"/>
          <w:szCs w:val="24"/>
        </w:rPr>
      </w:pPr>
      <w:r>
        <w:rPr>
          <w:rFonts w:eastAsia="Calibri" w:cs="Times New Roman" w:ascii="Times New Roman" w:hAnsi="Times New Roman"/>
          <w:b/>
          <w:bCs/>
          <w:sz w:val="24"/>
          <w:szCs w:val="24"/>
        </w:rPr>
        <w:t>Natural waters</w:t>
      </w:r>
    </w:p>
    <w:p>
      <w:pPr>
        <w:pStyle w:val="Normal"/>
        <w:tabs>
          <w:tab w:val="clear" w:pos="708"/>
          <w:tab w:val="left" w:pos="993" w:leader="none"/>
        </w:tabs>
        <w:spacing w:lineRule="auto" w:line="240" w:before="0" w:after="0"/>
        <w:contextualSpacing/>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tabs>
          <w:tab w:val="clear" w:pos="708"/>
          <w:tab w:val="left" w:pos="993" w:leader="none"/>
        </w:tabs>
        <w:spacing w:lineRule="auto" w:line="240" w:before="0" w:after="0"/>
        <w:contextualSpacing/>
        <w:rPr>
          <w:b w:val="false"/>
          <w:bCs w:val="false"/>
        </w:rPr>
      </w:pPr>
      <w:r>
        <w:rPr>
          <w:rFonts w:eastAsia="Calibri" w:cs="Times New Roman" w:ascii="Times New Roman" w:hAnsi="Times New Roman"/>
          <w:b w:val="false"/>
          <w:bCs w:val="false"/>
          <w:sz w:val="24"/>
          <w:szCs w:val="24"/>
        </w:rPr>
        <w:t>surface (rivers, channels, lakes)</w:t>
      </w:r>
    </w:p>
    <w:p>
      <w:pPr>
        <w:pStyle w:val="Normal"/>
        <w:tabs>
          <w:tab w:val="clear" w:pos="708"/>
          <w:tab w:val="left" w:pos="993" w:leader="none"/>
        </w:tabs>
        <w:spacing w:lineRule="auto" w:line="240" w:before="0" w:after="0"/>
        <w:contextualSpacing/>
        <w:rPr>
          <w:b w:val="false"/>
          <w:bCs w:val="false"/>
        </w:rPr>
      </w:pPr>
      <w:r>
        <w:rPr>
          <w:b w:val="false"/>
          <w:bCs w:val="false"/>
        </w:rPr>
      </w:r>
    </w:p>
    <w:p>
      <w:pPr>
        <w:pStyle w:val="Normal"/>
        <w:tabs>
          <w:tab w:val="clear" w:pos="708"/>
          <w:tab w:val="left" w:pos="993" w:leader="none"/>
        </w:tabs>
        <w:spacing w:lineRule="auto" w:line="240" w:before="0" w:after="0"/>
        <w:contextualSpacing/>
        <w:rPr>
          <w:b w:val="false"/>
          <w:bCs w:val="false"/>
        </w:rPr>
      </w:pPr>
      <w:r>
        <w:rPr>
          <w:rFonts w:eastAsia="Calibri" w:cs="Times New Roman" w:ascii="Times New Roman" w:hAnsi="Times New Roman"/>
          <w:b w:val="false"/>
          <w:bCs w:val="false"/>
          <w:sz w:val="24"/>
          <w:szCs w:val="24"/>
        </w:rPr>
        <w:t>underground (wells, boreholes)</w:t>
      </w:r>
    </w:p>
    <w:p>
      <w:pPr>
        <w:pStyle w:val="Normal"/>
        <w:tabs>
          <w:tab w:val="clear" w:pos="708"/>
          <w:tab w:val="left" w:pos="993" w:leader="none"/>
        </w:tabs>
        <w:spacing w:lineRule="auto" w:line="240" w:before="0" w:after="0"/>
        <w:contextualSpacing/>
        <w:rPr>
          <w:b w:val="false"/>
          <w:bCs w:val="false"/>
        </w:rPr>
      </w:pPr>
      <w:r>
        <w:rPr>
          <w:b w:val="false"/>
          <w:bCs w:val="false"/>
        </w:rPr>
      </w:r>
    </w:p>
    <w:p>
      <w:pPr>
        <w:pStyle w:val="Normal"/>
        <w:tabs>
          <w:tab w:val="clear" w:pos="708"/>
          <w:tab w:val="left" w:pos="993" w:leader="none"/>
        </w:tabs>
        <w:spacing w:lineRule="auto" w:line="240" w:before="0" w:after="0"/>
        <w:contextualSpacing/>
        <w:rPr>
          <w:b w:val="false"/>
          <w:bCs w:val="false"/>
        </w:rPr>
      </w:pPr>
      <w:r>
        <w:rPr>
          <w:rFonts w:eastAsia="Calibri" w:cs="Times New Roman" w:ascii="Times New Roman" w:hAnsi="Times New Roman"/>
          <w:b w:val="false"/>
          <w:bCs w:val="false"/>
          <w:sz w:val="24"/>
          <w:szCs w:val="24"/>
        </w:rPr>
        <w:t>the composition of natural waters is very diverse</w:t>
      </w:r>
    </w:p>
    <w:p>
      <w:pPr>
        <w:pStyle w:val="Normal"/>
        <w:tabs>
          <w:tab w:val="clear" w:pos="708"/>
          <w:tab w:val="left" w:pos="993" w:leader="none"/>
        </w:tabs>
        <w:spacing w:lineRule="auto" w:line="240" w:before="0" w:after="0"/>
        <w:contextualSpacing/>
        <w:rPr>
          <w:b w:val="false"/>
          <w:bCs w:val="false"/>
        </w:rPr>
      </w:pPr>
      <w:r>
        <w:rPr>
          <w:b w:val="false"/>
          <w:bCs w:val="false"/>
        </w:rPr>
      </w:r>
    </w:p>
    <w:p>
      <w:pPr>
        <w:pStyle w:val="Normal"/>
        <w:tabs>
          <w:tab w:val="clear" w:pos="708"/>
          <w:tab w:val="left" w:pos="993" w:leader="none"/>
        </w:tabs>
        <w:spacing w:lineRule="auto" w:line="240" w:before="0" w:after="0"/>
        <w:contextualSpacing/>
        <w:rPr>
          <w:b w:val="false"/>
          <w:bCs w:val="false"/>
        </w:rPr>
      </w:pPr>
      <w:r>
        <w:rPr>
          <w:rFonts w:eastAsia="Calibri" w:cs="Times New Roman" w:ascii="Times New Roman" w:hAnsi="Times New Roman"/>
          <w:b w:val="false"/>
          <w:bCs w:val="false"/>
          <w:sz w:val="24"/>
          <w:szCs w:val="24"/>
        </w:rPr>
        <w:t>there are no standards for them</w:t>
      </w:r>
    </w:p>
    <w:p>
      <w:pPr>
        <w:pStyle w:val="Normal"/>
        <w:spacing w:lineRule="auto" w:line="276" w:before="0" w:after="0"/>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76" w:before="0" w:after="0"/>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76" w:before="0" w:after="0"/>
        <w:rPr>
          <w:rFonts w:ascii="Times New Roman" w:hAnsi="Times New Roman" w:eastAsia="Calibri" w:cs="Times New Roman"/>
          <w:b/>
          <w:bCs/>
          <w:sz w:val="24"/>
          <w:szCs w:val="24"/>
        </w:rPr>
      </w:pPr>
      <w:r>
        <w:rPr>
          <w:rFonts w:eastAsia="Calibri" w:cs="Times New Roman" w:ascii="Times New Roman" w:hAnsi="Times New Roman"/>
          <w:b/>
          <w:bCs/>
          <w:sz w:val="24"/>
          <w:szCs w:val="24"/>
        </w:rPr>
        <w:t xml:space="preserve">Soil </w:t>
      </w:r>
    </w:p>
    <w:p>
      <w:pPr>
        <w:pStyle w:val="Normal"/>
        <w:spacing w:lineRule="auto" w:line="276" w:before="0" w:after="0"/>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76" w:before="0" w:after="0"/>
        <w:rPr>
          <w:b w:val="false"/>
          <w:bCs w:val="false"/>
        </w:rPr>
      </w:pPr>
      <w:r>
        <w:rPr>
          <w:rFonts w:eastAsia="Calibri" w:cs="Times New Roman" w:ascii="Times New Roman" w:hAnsi="Times New Roman"/>
          <w:b w:val="false"/>
          <w:bCs w:val="false"/>
          <w:sz w:val="24"/>
          <w:szCs w:val="24"/>
        </w:rPr>
        <w:t xml:space="preserve">Radioactivity according to sanitary standards is up to 1200 Bq/kg. </w:t>
      </w:r>
    </w:p>
    <w:p>
      <w:pPr>
        <w:pStyle w:val="Normal"/>
        <w:spacing w:lineRule="auto" w:line="276" w:before="0" w:after="0"/>
        <w:rPr>
          <w:b w:val="false"/>
          <w:bCs w:val="false"/>
        </w:rPr>
      </w:pPr>
      <w:r>
        <w:rPr>
          <w:b w:val="false"/>
          <w:bCs w:val="false"/>
        </w:rPr>
      </w:r>
    </w:p>
    <w:p>
      <w:pPr>
        <w:pStyle w:val="Normal"/>
        <w:spacing w:lineRule="auto" w:line="276" w:before="0" w:after="0"/>
        <w:rPr>
          <w:b w:val="false"/>
          <w:bCs w:val="false"/>
        </w:rPr>
      </w:pPr>
      <w:r>
        <w:rPr>
          <w:rFonts w:eastAsia="Calibri" w:cs="Times New Roman" w:ascii="Times New Roman" w:hAnsi="Times New Roman"/>
          <w:b w:val="false"/>
          <w:bCs w:val="false"/>
          <w:sz w:val="24"/>
          <w:szCs w:val="24"/>
        </w:rPr>
        <w:t xml:space="preserve">The salt content, favorable for agriculture, is up to 6 g/kg. </w:t>
      </w:r>
    </w:p>
    <w:p>
      <w:pPr>
        <w:pStyle w:val="Normal"/>
        <w:spacing w:lineRule="auto" w:line="276" w:before="0" w:after="0"/>
        <w:rPr>
          <w:b w:val="false"/>
          <w:bCs w:val="false"/>
        </w:rPr>
      </w:pPr>
      <w:r>
        <w:rPr>
          <w:b w:val="false"/>
          <w:bCs w:val="false"/>
        </w:rPr>
      </w:r>
    </w:p>
    <w:p>
      <w:pPr>
        <w:pStyle w:val="Normal"/>
        <w:spacing w:lineRule="auto" w:line="276" w:before="0" w:after="0"/>
        <w:rPr>
          <w:b w:val="false"/>
          <w:bCs w:val="false"/>
        </w:rPr>
      </w:pPr>
      <w:r>
        <w:rPr>
          <w:rFonts w:eastAsia="Calibri" w:cs="Times New Roman" w:ascii="Times New Roman" w:hAnsi="Times New Roman"/>
          <w:b w:val="false"/>
          <w:bCs w:val="false"/>
          <w:sz w:val="24"/>
          <w:szCs w:val="24"/>
        </w:rPr>
        <w:t xml:space="preserve">The acidity is at least 6 units. </w:t>
      </w:r>
    </w:p>
    <w:p>
      <w:pPr>
        <w:pStyle w:val="Normal"/>
        <w:spacing w:lineRule="auto" w:line="276" w:before="0" w:after="0"/>
        <w:rPr>
          <w:rFonts w:ascii="Times New Roman" w:hAnsi="Times New Roman" w:eastAsia="Calibri" w:cs="Times New Roman"/>
          <w:bCs/>
          <w:color w:val="FF0000"/>
          <w:sz w:val="24"/>
          <w:szCs w:val="24"/>
        </w:rPr>
      </w:pPr>
      <w:r>
        <w:rPr>
          <w:rFonts w:eastAsia="Calibri" w:cs="Times New Roman" w:ascii="Times New Roman" w:hAnsi="Times New Roman"/>
          <w:bCs/>
          <w:color w:val="FF0000"/>
          <w:sz w:val="24"/>
          <w:szCs w:val="24"/>
        </w:rPr>
      </w:r>
    </w:p>
    <w:p>
      <w:pPr>
        <w:pStyle w:val="Normal"/>
        <w:spacing w:lineRule="auto" w:line="276" w:before="0" w:after="0"/>
        <w:jc w:val="center"/>
        <w:rPr>
          <w:rFonts w:ascii="Times New Roman" w:hAnsi="Times New Roman" w:eastAsia="Calibri" w:cs="Times New Roman"/>
          <w:b/>
          <w:bCs/>
          <w:sz w:val="24"/>
          <w:szCs w:val="24"/>
          <w:lang w:val="kk-KZ"/>
        </w:rPr>
      </w:pPr>
      <w:r>
        <w:rPr>
          <w:rFonts w:eastAsia="Calibri" w:cs="Times New Roman" w:ascii="Times New Roman" w:hAnsi="Times New Roman"/>
          <w:b/>
          <w:bCs/>
          <w:sz w:val="24"/>
          <w:szCs w:val="24"/>
          <w:lang w:val="kk-KZ"/>
        </w:rPr>
        <w:t xml:space="preserve">Environmental Research </w:t>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bCs/>
          <w:i/>
          <w:i/>
          <w:color w:val="FF0000"/>
          <w:kern w:val="2"/>
          <w:sz w:val="24"/>
          <w:szCs w:val="24"/>
          <w:lang w:eastAsia="ru-RU"/>
        </w:rPr>
      </w:pPr>
      <w:r>
        <w:rPr>
          <w:rFonts w:eastAsia="Times New Roman" w:cs="Times New Roman" w:ascii="Times New Roman" w:hAnsi="Times New Roman"/>
          <w:bCs/>
          <w:i/>
          <w:color w:val="FF0000"/>
          <w:kern w:val="2"/>
          <w:sz w:val="24"/>
          <w:szCs w:val="24"/>
          <w:lang w:eastAsia="ru-RU"/>
        </w:rPr>
      </w:r>
    </w:p>
    <w:p>
      <w:pPr>
        <w:pStyle w:val="Normal"/>
        <w:spacing w:lineRule="auto" w:line="240" w:before="0" w:after="0"/>
        <w:ind w:firstLine="426"/>
        <w:jc w:val="both"/>
        <w:rPr>
          <w:rFonts w:ascii="Times New Roman" w:hAnsi="Times New Roman" w:eastAsia="Calibri" w:cs="Times New Roman"/>
          <w:sz w:val="24"/>
          <w:szCs w:val="24"/>
        </w:rPr>
      </w:pPr>
      <w:r>
        <w:rPr>
          <w:rFonts w:eastAsia="Calibri" w:cs="Times New Roman" w:ascii="Times New Roman" w:hAnsi="Times New Roman"/>
          <w:bCs/>
          <w:sz w:val="24"/>
          <w:szCs w:val="24"/>
        </w:rPr>
        <w:t>In 2022–2024, comprehensive environmental studies were conducted at the “</w:t>
      </w:r>
      <w:r>
        <w:rPr>
          <w:rFonts w:eastAsia="Calibri" w:cs="Times New Roman" w:ascii="Times New Roman" w:hAnsi="Times New Roman"/>
          <w:bCs/>
          <w:sz w:val="24"/>
          <w:szCs w:val="24"/>
          <w:lang w:val="en-US"/>
        </w:rPr>
        <w:t>Yuzhny</w:t>
      </w:r>
      <w:r>
        <w:rPr>
          <w:rFonts w:eastAsia="Calibri" w:cs="Times New Roman" w:ascii="Times New Roman" w:hAnsi="Times New Roman"/>
          <w:bCs/>
          <w:sz w:val="24"/>
          <w:szCs w:val="24"/>
        </w:rPr>
        <w:t xml:space="preserve"> Inkai” mine, including the analysis of water and soil samples, as well as assessments of biodiversity conditions in the following areas: </w:t>
      </w:r>
    </w:p>
    <w:p>
      <w:pPr>
        <w:pStyle w:val="Normal"/>
        <w:numPr>
          <w:ilvl w:val="0"/>
          <w:numId w:val="1"/>
        </w:numPr>
        <w:tabs>
          <w:tab w:val="clear" w:pos="708"/>
          <w:tab w:val="left" w:pos="284" w:leader="none"/>
        </w:tabs>
        <w:spacing w:lineRule="auto" w:line="240" w:before="0" w:after="0"/>
        <w:ind w:firstLine="426"/>
        <w:rPr>
          <w:rFonts w:ascii="Times New Roman" w:hAnsi="Times New Roman" w:eastAsia="Calibri" w:cs="Times New Roman"/>
          <w:sz w:val="24"/>
          <w:szCs w:val="24"/>
        </w:rPr>
      </w:pPr>
      <w:r>
        <w:rPr>
          <w:rFonts w:eastAsia="Calibri" w:cs="Times New Roman" w:ascii="Times New Roman" w:hAnsi="Times New Roman"/>
          <w:bCs/>
          <w:sz w:val="24"/>
          <w:szCs w:val="24"/>
        </w:rPr>
        <w:t xml:space="preserve">within the mine territory; </w:t>
      </w:r>
    </w:p>
    <w:p>
      <w:pPr>
        <w:pStyle w:val="Normal"/>
        <w:numPr>
          <w:ilvl w:val="0"/>
          <w:numId w:val="1"/>
        </w:numPr>
        <w:tabs>
          <w:tab w:val="clear" w:pos="708"/>
          <w:tab w:val="left" w:pos="284" w:leader="none"/>
        </w:tabs>
        <w:spacing w:lineRule="auto" w:line="240" w:before="0" w:after="0"/>
        <w:ind w:firstLine="426"/>
        <w:rPr>
          <w:rFonts w:ascii="Times New Roman" w:hAnsi="Times New Roman" w:eastAsia="Calibri" w:cs="Times New Roman"/>
          <w:sz w:val="24"/>
          <w:szCs w:val="24"/>
        </w:rPr>
      </w:pPr>
      <w:r>
        <w:rPr>
          <w:rFonts w:eastAsia="Calibri" w:cs="Times New Roman" w:ascii="Times New Roman" w:hAnsi="Times New Roman"/>
          <w:bCs/>
          <w:sz w:val="24"/>
          <w:szCs w:val="24"/>
        </w:rPr>
        <w:t xml:space="preserve">in nearby farming households; </w:t>
      </w:r>
    </w:p>
    <w:p>
      <w:pPr>
        <w:pStyle w:val="Normal"/>
        <w:numPr>
          <w:ilvl w:val="0"/>
          <w:numId w:val="1"/>
        </w:numPr>
        <w:tabs>
          <w:tab w:val="clear" w:pos="708"/>
          <w:tab w:val="left" w:pos="284" w:leader="none"/>
        </w:tabs>
        <w:spacing w:lineRule="auto" w:line="240" w:before="0" w:after="0"/>
        <w:ind w:firstLine="426"/>
        <w:rPr>
          <w:rFonts w:ascii="Times New Roman" w:hAnsi="Times New Roman" w:eastAsia="Calibri" w:cs="Times New Roman"/>
          <w:sz w:val="24"/>
          <w:szCs w:val="24"/>
        </w:rPr>
      </w:pPr>
      <w:r>
        <w:rPr>
          <w:rFonts w:eastAsia="Calibri" w:cs="Times New Roman" w:ascii="Times New Roman" w:hAnsi="Times New Roman"/>
          <w:bCs/>
          <w:sz w:val="24"/>
          <w:szCs w:val="24"/>
        </w:rPr>
        <w:t xml:space="preserve">in wintering sites; </w:t>
      </w:r>
    </w:p>
    <w:p>
      <w:pPr>
        <w:pStyle w:val="Normal"/>
        <w:numPr>
          <w:ilvl w:val="0"/>
          <w:numId w:val="1"/>
        </w:numPr>
        <w:tabs>
          <w:tab w:val="clear" w:pos="708"/>
          <w:tab w:val="left" w:pos="284" w:leader="none"/>
        </w:tabs>
        <w:spacing w:lineRule="auto" w:line="240" w:before="0" w:after="0"/>
        <w:ind w:firstLine="426"/>
        <w:rPr>
          <w:rFonts w:ascii="Times New Roman" w:hAnsi="Times New Roman" w:eastAsia="Calibri" w:cs="Times New Roman"/>
          <w:sz w:val="24"/>
          <w:szCs w:val="24"/>
        </w:rPr>
      </w:pPr>
      <w:r>
        <w:rPr>
          <w:rFonts w:eastAsia="Calibri" w:cs="Times New Roman" w:ascii="Times New Roman" w:hAnsi="Times New Roman"/>
          <w:bCs/>
          <w:sz w:val="24"/>
          <w:szCs w:val="24"/>
        </w:rPr>
        <w:t xml:space="preserve">in wells and boreholes; </w:t>
      </w:r>
    </w:p>
    <w:p>
      <w:pPr>
        <w:pStyle w:val="Normal"/>
        <w:numPr>
          <w:ilvl w:val="0"/>
          <w:numId w:val="1"/>
        </w:numPr>
        <w:tabs>
          <w:tab w:val="clear" w:pos="708"/>
          <w:tab w:val="left" w:pos="284" w:leader="none"/>
        </w:tabs>
        <w:spacing w:lineRule="auto" w:line="240" w:before="0" w:after="0"/>
        <w:ind w:firstLine="426"/>
        <w:contextualSpacing/>
        <w:rPr>
          <w:rFonts w:ascii="Times New Roman" w:hAnsi="Times New Roman" w:eastAsia="Calibri" w:cs="Times New Roman"/>
          <w:sz w:val="24"/>
          <w:szCs w:val="24"/>
        </w:rPr>
      </w:pPr>
      <w:r>
        <w:rPr>
          <w:rFonts w:eastAsia="Calibri" w:cs="Times New Roman" w:ascii="Times New Roman" w:hAnsi="Times New Roman"/>
          <w:sz w:val="24"/>
          <w:szCs w:val="24"/>
        </w:rPr>
        <w:t xml:space="preserve">in the settlements of Kyzemshek and Taikonyr; </w:t>
      </w:r>
    </w:p>
    <w:p>
      <w:pPr>
        <w:pStyle w:val="Normal"/>
        <w:numPr>
          <w:ilvl w:val="0"/>
          <w:numId w:val="1"/>
        </w:numPr>
        <w:tabs>
          <w:tab w:val="clear" w:pos="708"/>
          <w:tab w:val="left" w:pos="284" w:leader="none"/>
        </w:tabs>
        <w:spacing w:lineRule="auto" w:line="240" w:before="0" w:after="0"/>
        <w:ind w:firstLine="426"/>
        <w:rPr>
          <w:rFonts w:ascii="Times New Roman" w:hAnsi="Times New Roman" w:eastAsia="Calibri" w:cs="Times New Roman"/>
          <w:sz w:val="24"/>
          <w:szCs w:val="24"/>
        </w:rPr>
      </w:pPr>
      <w:r>
        <w:rPr>
          <w:rFonts w:eastAsia="Calibri" w:cs="Times New Roman" w:ascii="Times New Roman" w:hAnsi="Times New Roman"/>
          <w:bCs/>
          <w:sz w:val="24"/>
          <w:szCs w:val="24"/>
        </w:rPr>
        <w:t xml:space="preserve">at background points located more than 10 km from the enterprise boundaries. </w:t>
      </w:r>
    </w:p>
    <w:p>
      <w:pPr>
        <w:pStyle w:val="Normal"/>
        <w:numPr>
          <w:ilvl w:val="0"/>
          <w:numId w:val="0"/>
        </w:numPr>
        <w:tabs>
          <w:tab w:val="clear" w:pos="708"/>
          <w:tab w:val="left" w:pos="284" w:leader="none"/>
        </w:tabs>
        <w:spacing w:lineRule="auto" w:line="240" w:before="0" w:after="0"/>
        <w:ind w:hanging="0" w:left="72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tabs>
          <w:tab w:val="clear" w:pos="708"/>
          <w:tab w:val="left" w:pos="993" w:leader="none"/>
        </w:tabs>
        <w:spacing w:lineRule="auto" w:line="240" w:before="0" w:after="0"/>
        <w:jc w:val="both"/>
        <w:rPr>
          <w:rFonts w:ascii="Times New Roman" w:hAnsi="Times New Roman" w:eastAsia="Times New Roman" w:cs="Times New Roman"/>
          <w:bCs/>
          <w:i/>
          <w:i/>
          <w:color w:val="FF0000"/>
          <w:kern w:val="2"/>
          <w:sz w:val="24"/>
          <w:szCs w:val="24"/>
          <w:lang w:eastAsia="ru-RU"/>
        </w:rPr>
      </w:pPr>
      <w:r>
        <w:rPr/>
        <w:drawing>
          <wp:inline distT="0" distB="0" distL="0" distR="0">
            <wp:extent cx="4643120" cy="5287645"/>
            <wp:effectExtent l="0" t="0" r="0" b="0"/>
            <wp:docPr id="10"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4" descr=""/>
                    <pic:cNvPicPr>
                      <a:picLocks noChangeAspect="1" noChangeArrowheads="1"/>
                    </pic:cNvPicPr>
                  </pic:nvPicPr>
                  <pic:blipFill>
                    <a:blip r:embed="rId11"/>
                    <a:stretch>
                      <a:fillRect/>
                    </a:stretch>
                  </pic:blipFill>
                  <pic:spPr bwMode="auto">
                    <a:xfrm>
                      <a:off x="0" y="0"/>
                      <a:ext cx="4643120" cy="5287645"/>
                    </a:xfrm>
                    <a:prstGeom prst="rect">
                      <a:avLst/>
                    </a:prstGeom>
                  </pic:spPr>
                </pic:pic>
              </a:graphicData>
            </a:graphic>
          </wp:inline>
        </w:drawing>
      </w:r>
    </w:p>
    <w:p>
      <w:pPr>
        <w:pStyle w:val="Normal"/>
        <w:tabs>
          <w:tab w:val="clear" w:pos="708"/>
          <w:tab w:val="left" w:pos="993" w:leader="none"/>
        </w:tabs>
        <w:spacing w:lineRule="auto" w:line="240" w:before="0" w:after="0"/>
        <w:jc w:val="both"/>
        <w:rPr>
          <w:rFonts w:ascii="Times New Roman" w:hAnsi="Times New Roman" w:eastAsia="Times New Roman" w:cs="Times New Roman"/>
          <w:bCs/>
          <w:i/>
          <w:i/>
          <w:color w:val="FF0000"/>
          <w:kern w:val="2"/>
          <w:sz w:val="24"/>
          <w:szCs w:val="24"/>
          <w:lang w:eastAsia="ru-RU"/>
        </w:rPr>
      </w:pPr>
      <w:r>
        <w:rPr>
          <w:rFonts w:eastAsia="Times New Roman" w:cs="Times New Roman" w:ascii="Times New Roman" w:hAnsi="Times New Roman"/>
          <w:bCs/>
          <w:i/>
          <w:color w:val="FF0000"/>
          <w:kern w:val="2"/>
          <w:sz w:val="24"/>
          <w:szCs w:val="24"/>
          <w:lang w:eastAsia="ru-RU"/>
        </w:rPr>
      </w:r>
    </w:p>
    <w:p>
      <w:pPr>
        <w:pStyle w:val="Normal"/>
        <w:tabs>
          <w:tab w:val="clear" w:pos="708"/>
          <w:tab w:val="left" w:pos="993" w:leader="none"/>
        </w:tabs>
        <w:spacing w:lineRule="auto" w:line="240" w:before="0" w:after="0"/>
        <w:jc w:val="center"/>
        <w:rPr>
          <w:rFonts w:ascii="Times New Roman" w:hAnsi="Times New Roman"/>
          <w:b/>
          <w:bCs/>
          <w:sz w:val="24"/>
          <w:szCs w:val="24"/>
          <w:lang w:val="en-US"/>
        </w:rPr>
      </w:pPr>
      <w:r>
        <w:rPr>
          <w:rFonts w:ascii="Times New Roman" w:hAnsi="Times New Roman"/>
          <w:b/>
          <w:bCs/>
          <w:sz w:val="24"/>
          <w:szCs w:val="24"/>
          <w:lang w:val="en-US"/>
        </w:rPr>
        <w:t>MAP SYMBOLS</w:t>
      </w:r>
    </w:p>
    <w:p>
      <w:pPr>
        <w:pStyle w:val="Normal"/>
        <w:tabs>
          <w:tab w:val="clear" w:pos="708"/>
          <w:tab w:val="left" w:pos="993" w:leader="none"/>
        </w:tabs>
        <w:spacing w:lineRule="auto" w:line="240" w:before="0" w:after="0"/>
        <w:jc w:val="center"/>
        <w:rPr>
          <w:rFonts w:ascii="Times New Roman" w:hAnsi="Times New Roman"/>
          <w:b/>
          <w:bCs/>
          <w:sz w:val="24"/>
          <w:szCs w:val="24"/>
          <w:lang w:val="en-US"/>
        </w:rPr>
      </w:pPr>
      <w:r>
        <w:rPr>
          <w:rFonts w:ascii="Times New Roman" w:hAnsi="Times New Roman"/>
          <w:b/>
          <w:bCs/>
          <w:sz w:val="24"/>
          <w:szCs w:val="24"/>
          <w:lang w:val="en-US"/>
        </w:rPr>
      </w:r>
    </w:p>
    <w:p>
      <w:pPr>
        <w:pStyle w:val="Normal"/>
        <w:tabs>
          <w:tab w:val="clear" w:pos="708"/>
          <w:tab w:val="left" w:pos="993" w:leader="none"/>
        </w:tabs>
        <w:spacing w:lineRule="auto" w:line="240" w:before="0" w:after="0"/>
        <w:jc w:val="center"/>
        <w:rPr>
          <w:rFonts w:ascii="Times New Roman" w:hAnsi="Times New Roman"/>
          <w:b/>
          <w:bCs/>
          <w:sz w:val="24"/>
          <w:szCs w:val="24"/>
          <w:lang w:val="en-US"/>
        </w:rPr>
      </w:pPr>
      <w:r>
        <w:rPr>
          <w:rFonts w:ascii="Times New Roman" w:hAnsi="Times New Roman"/>
          <w:b/>
          <w:bCs/>
          <w:sz w:val="24"/>
          <w:szCs w:val="24"/>
          <w:lang w:val="en-US"/>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3987165" cy="2228215"/>
            <wp:effectExtent l="0" t="0" r="0" b="0"/>
            <wp:wrapSquare wrapText="largest"/>
            <wp:docPr id="1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
                    <pic:cNvPicPr>
                      <a:picLocks noChangeAspect="1" noChangeArrowheads="1"/>
                    </pic:cNvPicPr>
                  </pic:nvPicPr>
                  <pic:blipFill>
                    <a:blip r:embed="rId12"/>
                    <a:stretch>
                      <a:fillRect/>
                    </a:stretch>
                  </pic:blipFill>
                  <pic:spPr bwMode="auto">
                    <a:xfrm>
                      <a:off x="0" y="0"/>
                      <a:ext cx="3987165" cy="2228215"/>
                    </a:xfrm>
                    <a:prstGeom prst="rect">
                      <a:avLst/>
                    </a:prstGeom>
                  </pic:spPr>
                </pic:pic>
              </a:graphicData>
            </a:graphic>
          </wp:anchor>
        </w:drawing>
      </w:r>
    </w:p>
    <w:p>
      <w:pPr>
        <w:pStyle w:val="Normal"/>
        <w:tabs>
          <w:tab w:val="clear" w:pos="708"/>
          <w:tab w:val="left" w:pos="993" w:leader="none"/>
        </w:tabs>
        <w:spacing w:lineRule="auto" w:line="240" w:before="0" w:after="0"/>
        <w:jc w:val="both"/>
        <w:rPr>
          <w:rFonts w:ascii="Times New Roman" w:hAnsi="Times New Roman" w:eastAsia="Times New Roman" w:cs="Times New Roman"/>
          <w:bCs/>
          <w:i/>
          <w:i/>
          <w:color w:val="FF0000"/>
          <w:kern w:val="2"/>
          <w:sz w:val="24"/>
          <w:szCs w:val="24"/>
          <w:lang w:eastAsia="ru-RU"/>
        </w:rPr>
      </w:pPr>
      <w:r>
        <w:rPr>
          <w:rFonts w:eastAsia="Times New Roman" w:cs="Times New Roman" w:ascii="Times New Roman" w:hAnsi="Times New Roman"/>
          <w:bCs/>
          <w:i/>
          <w:color w:val="FF0000"/>
          <w:kern w:val="2"/>
          <w:sz w:val="24"/>
          <w:szCs w:val="24"/>
          <w:lang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709"/>
        <w:jc w:val="center"/>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t xml:space="preserve">Results </w:t>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b/>
          <w:bCs/>
          <w:kern w:val="2"/>
          <w:sz w:val="24"/>
          <w:szCs w:val="24"/>
          <w:lang w:val="kk-KZ" w:eastAsia="ru-RU"/>
        </w:rPr>
      </w:pPr>
      <w:r>
        <w:rPr>
          <w:rFonts w:eastAsia="Times New Roman" w:cs="Times New Roman" w:ascii="Times New Roman" w:hAnsi="Times New Roman"/>
          <w:b/>
          <w:bCs/>
          <w:kern w:val="2"/>
          <w:sz w:val="24"/>
          <w:szCs w:val="24"/>
          <w:lang w:val="kk-KZ" w:eastAsia="ru-RU"/>
        </w:rPr>
      </w:r>
    </w:p>
    <w:p>
      <w:pPr>
        <w:pStyle w:val="Normal"/>
        <w:tabs>
          <w:tab w:val="clear" w:pos="708"/>
          <w:tab w:val="left" w:pos="993" w:leader="none"/>
        </w:tabs>
        <w:spacing w:lineRule="auto" w:line="240" w:before="0" w:after="0"/>
        <w:ind w:firstLine="56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The natural (background) values for </w:t>
      </w:r>
      <w:r>
        <w:rPr>
          <w:rFonts w:eastAsia="Times New Roman" w:cs="Times New Roman" w:ascii="Times New Roman" w:hAnsi="Times New Roman"/>
          <w:b/>
          <w:bCs/>
          <w:sz w:val="24"/>
          <w:szCs w:val="24"/>
          <w:lang w:eastAsia="ru-RU"/>
        </w:rPr>
        <w:t xml:space="preserve">natural groundwater </w:t>
      </w:r>
      <w:r>
        <w:rPr>
          <w:rFonts w:eastAsia="Times New Roman" w:cs="Times New Roman" w:ascii="Times New Roman" w:hAnsi="Times New Roman"/>
          <w:sz w:val="24"/>
          <w:szCs w:val="24"/>
          <w:lang w:eastAsia="ru-RU"/>
        </w:rPr>
        <w:t xml:space="preserve">in the study area have been determined: </w:t>
      </w:r>
    </w:p>
    <w:p>
      <w:pPr>
        <w:pStyle w:val="Normal"/>
        <w:tabs>
          <w:tab w:val="clear" w:pos="708"/>
          <w:tab w:val="left" w:pos="993" w:leader="none"/>
        </w:tabs>
        <w:spacing w:lineRule="auto" w:line="240" w:before="0" w:after="0"/>
        <w:ind w:firstLine="567"/>
        <w:jc w:val="both"/>
        <w:rPr>
          <w:rFonts w:ascii="Times New Roman" w:hAnsi="Times New Roman" w:eastAsia="Times New Roman" w:cs="Times New Roman"/>
          <w:spacing w:val="-4"/>
          <w:sz w:val="24"/>
          <w:szCs w:val="24"/>
          <w:lang w:eastAsia="ru-RU"/>
        </w:rPr>
      </w:pPr>
      <w:r>
        <w:rPr>
          <w:rFonts w:eastAsia="Times New Roman" w:cs="Times New Roman" w:ascii="Times New Roman" w:hAnsi="Times New Roman"/>
          <w:spacing w:val="-4"/>
          <w:sz w:val="24"/>
          <w:szCs w:val="24"/>
          <w:lang w:eastAsia="ru-RU"/>
        </w:rPr>
      </w:r>
    </w:p>
    <w:p>
      <w:pPr>
        <w:pStyle w:val="Normal"/>
        <w:tabs>
          <w:tab w:val="clear" w:pos="708"/>
          <w:tab w:val="left" w:pos="993" w:leader="none"/>
        </w:tabs>
        <w:spacing w:lineRule="auto" w:line="240" w:before="0" w:after="0"/>
        <w:contextualSpacing/>
        <w:jc w:val="both"/>
        <w:rPr>
          <w:rFonts w:ascii="Arial" w:hAnsi="Arial" w:eastAsia="Times New Roman" w:cs="Arial"/>
          <w:bCs/>
          <w:lang w:eastAsia="ru-RU"/>
        </w:rPr>
      </w:pPr>
      <w:r>
        <w:rPr>
          <w:rFonts w:eastAsia="Times New Roman" w:cs="Arial" w:ascii="Arial" w:hAnsi="Arial"/>
          <w:bCs/>
          <w:lang w:eastAsia="ru-RU"/>
        </w:rPr>
        <w:t>- salt 0.6-1.0 g/l,</w:t>
      </w:r>
    </w:p>
    <w:p>
      <w:pPr>
        <w:pStyle w:val="Normal"/>
        <w:tabs>
          <w:tab w:val="clear" w:pos="708"/>
          <w:tab w:val="left" w:pos="993" w:leader="none"/>
        </w:tabs>
        <w:spacing w:lineRule="auto" w:line="240" w:before="0" w:after="0"/>
        <w:contextualSpacing/>
        <w:jc w:val="both"/>
        <w:rPr>
          <w:rFonts w:ascii="Arial" w:hAnsi="Arial" w:eastAsia="Times New Roman" w:cs="Arial"/>
          <w:bCs/>
          <w:lang w:eastAsia="ru-RU"/>
        </w:rPr>
      </w:pPr>
      <w:r>
        <w:rPr>
          <w:rFonts w:eastAsia="Times New Roman" w:cs="Arial" w:ascii="Arial" w:hAnsi="Arial"/>
          <w:bCs/>
          <w:lang w:eastAsia="ru-RU"/>
        </w:rPr>
        <w:t>- acidity 8,0-8,3 units.</w:t>
      </w:r>
    </w:p>
    <w:p>
      <w:pPr>
        <w:pStyle w:val="Normal"/>
        <w:tabs>
          <w:tab w:val="clear" w:pos="708"/>
          <w:tab w:val="left" w:pos="993" w:leader="none"/>
        </w:tabs>
        <w:spacing w:lineRule="auto" w:line="240" w:before="0" w:after="0"/>
        <w:contextualSpacing/>
        <w:jc w:val="both"/>
        <w:rPr>
          <w:rFonts w:ascii="Arial" w:hAnsi="Arial" w:eastAsia="Times New Roman" w:cs="Arial"/>
          <w:bCs/>
          <w:lang w:eastAsia="ru-RU"/>
        </w:rPr>
      </w:pPr>
      <w:r>
        <w:rPr>
          <w:rFonts w:eastAsia="Times New Roman" w:cs="Arial" w:ascii="Arial" w:hAnsi="Arial"/>
          <w:bCs/>
          <w:lang w:eastAsia="ru-RU"/>
        </w:rPr>
        <w:t xml:space="preserve">- radiation 0.3-0.9 Bq/l </w:t>
      </w:r>
    </w:p>
    <w:p>
      <w:pPr>
        <w:pStyle w:val="Normal"/>
        <w:tabs>
          <w:tab w:val="clear" w:pos="708"/>
          <w:tab w:val="left" w:pos="993" w:leader="none"/>
        </w:tabs>
        <w:spacing w:lineRule="auto" w:line="240" w:before="0" w:after="0"/>
        <w:ind w:firstLine="567"/>
        <w:jc w:val="both"/>
        <w:rPr>
          <w:rFonts w:ascii="Times New Roman" w:hAnsi="Times New Roman" w:eastAsia="Times New Roman" w:cs="Times New Roman"/>
          <w:spacing w:val="-4"/>
          <w:sz w:val="24"/>
          <w:szCs w:val="24"/>
          <w:lang w:eastAsia="ru-RU"/>
        </w:rPr>
      </w:pPr>
      <w:r>
        <w:rPr>
          <w:rFonts w:eastAsia="Times New Roman" w:cs="Times New Roman" w:ascii="Times New Roman" w:hAnsi="Times New Roman"/>
          <w:spacing w:val="-4"/>
          <w:sz w:val="24"/>
          <w:szCs w:val="24"/>
          <w:lang w:eastAsia="ru-RU"/>
        </w:rPr>
      </w:r>
    </w:p>
    <w:p>
      <w:pPr>
        <w:pStyle w:val="Normal"/>
        <w:tabs>
          <w:tab w:val="clear" w:pos="708"/>
          <w:tab w:val="left" w:pos="993" w:leader="none"/>
        </w:tabs>
        <w:spacing w:lineRule="auto" w:line="240" w:before="0" w:after="0"/>
        <w:ind w:firstLine="567"/>
        <w:jc w:val="both"/>
        <w:rPr>
          <w:rFonts w:ascii="Times New Roman" w:hAnsi="Times New Roman" w:eastAsia="Times New Roman" w:cs="Times New Roman"/>
          <w:spacing w:val="-4"/>
          <w:sz w:val="24"/>
          <w:szCs w:val="24"/>
          <w:lang w:eastAsia="ru-RU"/>
        </w:rPr>
      </w:pPr>
      <w:r>
        <w:rPr>
          <w:rFonts w:eastAsia="Times New Roman" w:cs="Times New Roman" w:ascii="Times New Roman" w:hAnsi="Times New Roman"/>
          <w:spacing w:val="-4"/>
          <w:sz w:val="24"/>
          <w:szCs w:val="24"/>
          <w:lang w:eastAsia="ru-RU"/>
        </w:rPr>
      </w:r>
    </w:p>
    <w:p>
      <w:pPr>
        <w:pStyle w:val="Normal"/>
        <w:tabs>
          <w:tab w:val="clear" w:pos="708"/>
          <w:tab w:val="left" w:pos="993" w:leader="none"/>
        </w:tabs>
        <w:spacing w:lineRule="auto" w:line="240" w:before="0" w:after="0"/>
        <w:contextualSpacing/>
        <w:jc w:val="both"/>
        <w:rPr>
          <w:rFonts w:ascii="Arial" w:hAnsi="Arial" w:eastAsia="Times New Roman" w:cs="Arial"/>
          <w:b/>
          <w:spacing w:val="-4"/>
          <w:u w:val="single"/>
          <w:lang w:eastAsia="ru-RU"/>
        </w:rPr>
      </w:pPr>
      <w:r>
        <w:rPr>
          <w:rFonts w:eastAsia="Times New Roman" w:cs="Arial" w:ascii="Arial" w:hAnsi="Arial"/>
          <w:b/>
          <w:spacing w:val="-4"/>
          <w:u w:val="single"/>
          <w:lang w:eastAsia="ru-RU"/>
        </w:rPr>
        <w:t xml:space="preserve">It is not recommended </w:t>
      </w:r>
      <w:r>
        <w:rPr>
          <w:rFonts w:eastAsia="Times New Roman" w:cs="Arial" w:ascii="Arial" w:hAnsi="Arial"/>
          <w:b/>
          <w:i w:val="false"/>
          <w:iCs w:val="false"/>
          <w:spacing w:val="-4"/>
          <w:u w:val="none"/>
          <w:lang w:eastAsia="ru-RU"/>
        </w:rPr>
        <w:t xml:space="preserve">to use water from shallow water sources in wintering grounds and on farms for drinking purposes without prior preparation (filtration). </w:t>
      </w:r>
    </w:p>
    <w:p>
      <w:pPr>
        <w:pStyle w:val="Normal"/>
        <w:tabs>
          <w:tab w:val="clear" w:pos="708"/>
          <w:tab w:val="left" w:pos="993" w:leader="none"/>
        </w:tabs>
        <w:spacing w:lineRule="auto" w:line="240" w:before="0" w:after="0"/>
        <w:contextualSpacing/>
        <w:jc w:val="both"/>
        <w:rPr>
          <w:rFonts w:ascii="Arial" w:hAnsi="Arial" w:eastAsia="Times New Roman" w:cs="Arial"/>
          <w:b/>
          <w:spacing w:val="-4"/>
          <w:u w:val="single"/>
          <w:lang w:eastAsia="ru-RU"/>
        </w:rPr>
      </w:pPr>
      <w:r>
        <w:rPr>
          <w:rFonts w:eastAsia="Times New Roman" w:cs="Arial" w:ascii="Arial" w:hAnsi="Arial"/>
          <w:b/>
          <w:spacing w:val="-4"/>
          <w:u w:val="single"/>
          <w:lang w:eastAsia="ru-RU"/>
        </w:rPr>
      </w:r>
    </w:p>
    <w:p>
      <w:pPr>
        <w:pStyle w:val="Normal"/>
        <w:spacing w:lineRule="auto" w:line="240" w:before="0" w:after="0"/>
        <w:jc w:val="both"/>
        <w:rPr>
          <w:rFonts w:ascii="Arial" w:hAnsi="Arial" w:eastAsia="Times New Roman" w:cs="Arial"/>
          <w:b/>
          <w:lang w:eastAsia="ru-RU"/>
        </w:rPr>
      </w:pPr>
      <w:r>
        <w:rPr>
          <w:rFonts w:eastAsia="Times New Roman" w:cs="Arial" w:ascii="Arial" w:hAnsi="Arial"/>
          <w:b/>
          <w:lang w:eastAsia="ru-RU"/>
        </w:rPr>
        <w:t xml:space="preserve">For economic purposes, it is necessary to drill wells to a great depth (100-150 m) and conduct a complete chemical analysis of the water before using it. </w:t>
      </w:r>
    </w:p>
    <w:p>
      <w:pPr>
        <w:pStyle w:val="Normal"/>
        <w:tabs>
          <w:tab w:val="clear" w:pos="708"/>
          <w:tab w:val="left" w:pos="993" w:leader="none"/>
        </w:tabs>
        <w:spacing w:lineRule="auto" w:line="240" w:before="0" w:after="0"/>
        <w:ind w:firstLine="567"/>
        <w:jc w:val="both"/>
        <w:rPr>
          <w:rFonts w:ascii="Times New Roman" w:hAnsi="Times New Roman" w:eastAsia="Times New Roman" w:cs="Times New Roman"/>
          <w:color w:val="FF0000"/>
          <w:spacing w:val="-4"/>
          <w:sz w:val="24"/>
          <w:szCs w:val="24"/>
          <w:lang w:eastAsia="ru-RU"/>
        </w:rPr>
      </w:pPr>
      <w:r>
        <w:rPr>
          <w:rFonts w:eastAsia="Times New Roman" w:cs="Times New Roman" w:ascii="Times New Roman" w:hAnsi="Times New Roman"/>
          <w:color w:val="FF0000"/>
          <w:spacing w:val="-4"/>
          <w:sz w:val="24"/>
          <w:szCs w:val="24"/>
          <w:lang w:eastAsia="ru-RU"/>
        </w:rPr>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color w:val="FF0000"/>
          <w:spacing w:val="-4"/>
          <w:sz w:val="24"/>
          <w:szCs w:val="24"/>
          <w:lang w:eastAsia="ru-RU"/>
        </w:rPr>
      </w:pPr>
      <w:r>
        <w:rPr/>
        <w:drawing>
          <wp:inline distT="0" distB="0" distL="0" distR="0">
            <wp:extent cx="4833620" cy="2179320"/>
            <wp:effectExtent l="0" t="0" r="0" b="0"/>
            <wp:docPr id="12"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 descr=""/>
                    <pic:cNvPicPr>
                      <a:picLocks noChangeAspect="1" noChangeArrowheads="1"/>
                    </pic:cNvPicPr>
                  </pic:nvPicPr>
                  <pic:blipFill>
                    <a:blip r:embed="rId13"/>
                    <a:stretch>
                      <a:fillRect/>
                    </a:stretch>
                  </pic:blipFill>
                  <pic:spPr bwMode="auto">
                    <a:xfrm>
                      <a:off x="0" y="0"/>
                      <a:ext cx="4833620" cy="2179320"/>
                    </a:xfrm>
                    <a:prstGeom prst="rect">
                      <a:avLst/>
                    </a:prstGeom>
                  </pic:spPr>
                </pic:pic>
              </a:graphicData>
            </a:graphic>
          </wp:inline>
        </w:drawing>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color w:val="FF0000"/>
          <w:spacing w:val="-4"/>
          <w:sz w:val="24"/>
          <w:szCs w:val="24"/>
          <w:lang w:eastAsia="ru-RU"/>
        </w:rPr>
      </w:pPr>
      <w:r>
        <w:rPr>
          <w:rFonts w:eastAsia="Times New Roman" w:cs="Times New Roman" w:ascii="Times New Roman" w:hAnsi="Times New Roman"/>
          <w:color w:val="FF0000"/>
          <w:spacing w:val="-4"/>
          <w:sz w:val="24"/>
          <w:szCs w:val="24"/>
          <w:lang w:eastAsia="ru-RU"/>
        </w:rPr>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color w:val="FF0000"/>
          <w:spacing w:val="-4"/>
          <w:sz w:val="24"/>
          <w:szCs w:val="24"/>
          <w:lang w:eastAsia="ru-RU"/>
        </w:rPr>
      </w:pPr>
      <w:r>
        <w:rPr/>
        <w:drawing>
          <wp:inline distT="0" distB="0" distL="0" distR="0">
            <wp:extent cx="4840605" cy="2182495"/>
            <wp:effectExtent l="0" t="0" r="0" b="0"/>
            <wp:docPr id="13"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descr=""/>
                    <pic:cNvPicPr>
                      <a:picLocks noChangeAspect="1" noChangeArrowheads="1"/>
                    </pic:cNvPicPr>
                  </pic:nvPicPr>
                  <pic:blipFill>
                    <a:blip r:embed="rId14"/>
                    <a:stretch>
                      <a:fillRect/>
                    </a:stretch>
                  </pic:blipFill>
                  <pic:spPr bwMode="auto">
                    <a:xfrm>
                      <a:off x="0" y="0"/>
                      <a:ext cx="4840605" cy="2182495"/>
                    </a:xfrm>
                    <a:prstGeom prst="rect">
                      <a:avLst/>
                    </a:prstGeom>
                  </pic:spPr>
                </pic:pic>
              </a:graphicData>
            </a:graphic>
          </wp:inline>
        </w:drawing>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color w:val="FF0000"/>
          <w:spacing w:val="-4"/>
          <w:sz w:val="24"/>
          <w:szCs w:val="24"/>
          <w:lang w:eastAsia="ru-RU"/>
        </w:rPr>
      </w:pPr>
      <w:r>
        <w:rPr>
          <w:rFonts w:eastAsia="Times New Roman" w:cs="Times New Roman" w:ascii="Times New Roman" w:hAnsi="Times New Roman"/>
          <w:color w:val="FF0000"/>
          <w:spacing w:val="-4"/>
          <w:sz w:val="24"/>
          <w:szCs w:val="24"/>
          <w:lang w:eastAsia="ru-RU"/>
        </w:rPr>
      </w:r>
    </w:p>
    <w:p>
      <w:pPr>
        <w:pStyle w:val="Normal"/>
        <w:tabs>
          <w:tab w:val="clear" w:pos="708"/>
          <w:tab w:val="left" w:pos="993" w:leader="none"/>
        </w:tabs>
        <w:spacing w:lineRule="auto" w:line="240" w:before="0" w:after="0"/>
        <w:ind w:firstLine="567"/>
        <w:jc w:val="both"/>
        <w:rPr>
          <w:rFonts w:ascii="Times New Roman" w:hAnsi="Times New Roman" w:eastAsia="Times New Roman" w:cs="Times New Roman"/>
          <w:sz w:val="24"/>
          <w:szCs w:val="24"/>
          <w:lang w:eastAsia="ru-RU"/>
        </w:rPr>
      </w:pPr>
      <w:r>
        <w:rPr/>
        <w:drawing>
          <wp:inline distT="0" distB="0" distL="0" distR="0">
            <wp:extent cx="5021580" cy="2264410"/>
            <wp:effectExtent l="0" t="0" r="0" b="0"/>
            <wp:docPr id="14"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
                    <pic:cNvPicPr>
                      <a:picLocks noChangeAspect="1" noChangeArrowheads="1"/>
                    </pic:cNvPicPr>
                  </pic:nvPicPr>
                  <pic:blipFill>
                    <a:blip r:embed="rId15"/>
                    <a:stretch>
                      <a:fillRect/>
                    </a:stretch>
                  </pic:blipFill>
                  <pic:spPr bwMode="auto">
                    <a:xfrm>
                      <a:off x="0" y="0"/>
                      <a:ext cx="5021580" cy="2264410"/>
                    </a:xfrm>
                    <a:prstGeom prst="rect">
                      <a:avLst/>
                    </a:prstGeom>
                  </pic:spPr>
                </pic:pic>
              </a:graphicData>
            </a:graphic>
          </wp:inline>
        </w:drawing>
      </w:r>
    </w:p>
    <w:p>
      <w:pPr>
        <w:pStyle w:val="Normal"/>
        <w:spacing w:lineRule="auto" w:line="276" w:before="0" w:after="200"/>
        <w:ind w:firstLine="567"/>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76" w:before="0" w:after="200"/>
        <w:ind w:firstLine="567"/>
        <w:jc w:val="both"/>
        <w:rPr>
          <w:rFonts w:ascii="Times New Roman" w:hAnsi="Times New Roman" w:eastAsia="Calibri" w:cs="Times New Roman"/>
          <w:bCs/>
          <w:sz w:val="24"/>
          <w:szCs w:val="24"/>
        </w:rPr>
      </w:pPr>
      <w:r>
        <w:rPr>
          <w:rFonts w:eastAsia="Calibri" w:cs="Times New Roman" w:ascii="Times New Roman" w:hAnsi="Times New Roman"/>
          <w:bCs/>
          <w:sz w:val="24"/>
          <w:szCs w:val="24"/>
        </w:rPr>
        <w:t>The natural (background) values</w:t>
      </w:r>
      <w:r>
        <w:rPr>
          <w:rFonts w:eastAsia="Calibri" w:cs="Times New Roman" w:ascii="Times New Roman" w:hAnsi="Times New Roman"/>
          <w:b/>
          <w:bCs/>
          <w:sz w:val="24"/>
          <w:szCs w:val="24"/>
        </w:rPr>
        <w:t xml:space="preserve"> for the soil </w:t>
      </w:r>
      <w:r>
        <w:rPr>
          <w:rFonts w:eastAsia="Calibri" w:cs="Times New Roman" w:ascii="Times New Roman" w:hAnsi="Times New Roman"/>
          <w:bCs/>
          <w:sz w:val="24"/>
          <w:szCs w:val="24"/>
        </w:rPr>
        <w:t xml:space="preserve">in the studied area have been determined: </w:t>
      </w:r>
    </w:p>
    <w:p>
      <w:pPr>
        <w:pStyle w:val="Normal"/>
        <w:spacing w:lineRule="auto" w:line="276" w:before="0" w:after="200"/>
        <w:rPr>
          <w:rFonts w:ascii="Arial" w:hAnsi="Arial" w:eastAsia="Calibri" w:cs="Arial"/>
          <w:bCs/>
        </w:rPr>
      </w:pPr>
      <w:r>
        <w:rPr>
          <w:rFonts w:eastAsia="Calibri" w:cs="Arial" w:ascii="Arial" w:hAnsi="Arial"/>
          <w:bCs/>
        </w:rPr>
        <w:t>- salt content 2-8 g/kg,</w:t>
      </w:r>
    </w:p>
    <w:p>
      <w:pPr>
        <w:pStyle w:val="Normal"/>
        <w:spacing w:lineRule="auto" w:line="276" w:before="0" w:after="200"/>
        <w:rPr>
          <w:rFonts w:ascii="Arial" w:hAnsi="Arial" w:eastAsia="Calibri" w:cs="Arial"/>
          <w:bCs/>
        </w:rPr>
      </w:pPr>
      <w:r>
        <w:rPr>
          <w:rFonts w:eastAsia="Calibri" w:cs="Arial" w:ascii="Arial" w:hAnsi="Arial"/>
          <w:bCs/>
        </w:rPr>
        <w:t>- the radioactive background is 260-680 Bq/kg.</w:t>
      </w:r>
    </w:p>
    <w:p>
      <w:pPr>
        <w:pStyle w:val="Normal"/>
        <w:spacing w:lineRule="auto" w:line="276" w:before="0" w:after="200"/>
        <w:rPr>
          <w:rFonts w:ascii="Arial" w:hAnsi="Arial" w:eastAsia="Calibri" w:cs="Arial"/>
          <w:bCs/>
        </w:rPr>
      </w:pPr>
      <w:r>
        <w:rPr>
          <w:rFonts w:eastAsia="Calibri" w:cs="Arial" w:ascii="Arial" w:hAnsi="Arial"/>
          <w:bCs/>
        </w:rPr>
        <w:t xml:space="preserve">- acidity 8-9 units. </w:t>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spacing w:val="-4"/>
          <w:sz w:val="24"/>
          <w:szCs w:val="24"/>
          <w:lang w:eastAsia="ru-RU"/>
        </w:rPr>
      </w:pPr>
      <w:r>
        <w:rPr/>
        <w:drawing>
          <wp:inline distT="0" distB="0" distL="0" distR="0">
            <wp:extent cx="4671060" cy="2106295"/>
            <wp:effectExtent l="0" t="0" r="0" b="0"/>
            <wp:docPr id="1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
                    <pic:cNvPicPr>
                      <a:picLocks noChangeAspect="1" noChangeArrowheads="1"/>
                    </pic:cNvPicPr>
                  </pic:nvPicPr>
                  <pic:blipFill>
                    <a:blip r:embed="rId16"/>
                    <a:stretch>
                      <a:fillRect/>
                    </a:stretch>
                  </pic:blipFill>
                  <pic:spPr bwMode="auto">
                    <a:xfrm>
                      <a:off x="0" y="0"/>
                      <a:ext cx="4671060" cy="2106295"/>
                    </a:xfrm>
                    <a:prstGeom prst="rect">
                      <a:avLst/>
                    </a:prstGeom>
                  </pic:spPr>
                </pic:pic>
              </a:graphicData>
            </a:graphic>
          </wp:inline>
        </w:drawing>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spacing w:val="-4"/>
          <w:sz w:val="24"/>
          <w:szCs w:val="24"/>
          <w:lang w:eastAsia="ru-RU"/>
        </w:rPr>
      </w:pPr>
      <w:r>
        <w:rPr>
          <w:rFonts w:eastAsia="Times New Roman" w:cs="Times New Roman" w:ascii="Times New Roman" w:hAnsi="Times New Roman"/>
          <w:spacing w:val="-4"/>
          <w:sz w:val="24"/>
          <w:szCs w:val="24"/>
          <w:lang w:eastAsia="ru-RU"/>
        </w:rPr>
      </w:r>
    </w:p>
    <w:p>
      <w:pPr>
        <w:pStyle w:val="Normal"/>
        <w:tabs>
          <w:tab w:val="clear" w:pos="708"/>
          <w:tab w:val="left" w:pos="993" w:leader="none"/>
        </w:tabs>
        <w:spacing w:lineRule="auto" w:line="240" w:before="0" w:after="0"/>
        <w:ind w:firstLine="709"/>
        <w:jc w:val="both"/>
        <w:rPr>
          <w:b/>
          <w:bCs/>
        </w:rPr>
      </w:pPr>
      <w:r>
        <w:rPr>
          <w:rFonts w:eastAsia="Times New Roman" w:cs="Times New Roman" w:ascii="Times New Roman" w:hAnsi="Times New Roman"/>
          <w:b/>
          <w:bCs/>
          <w:spacing w:val="-4"/>
          <w:sz w:val="24"/>
          <w:szCs w:val="24"/>
          <w:u w:val="single"/>
          <w:lang w:eastAsia="ru-RU"/>
        </w:rPr>
        <w:t xml:space="preserve">No man-made pollution has been detected </w:t>
      </w:r>
      <w:r>
        <w:rPr>
          <w:rFonts w:eastAsia="Times New Roman" w:cs="Times New Roman" w:ascii="Times New Roman" w:hAnsi="Times New Roman"/>
          <w:b/>
          <w:bCs/>
          <w:spacing w:val="-4"/>
          <w:sz w:val="24"/>
          <w:szCs w:val="24"/>
          <w:lang w:eastAsia="ru-RU"/>
        </w:rPr>
        <w:t xml:space="preserve">outside the production facilities of the «Yuzhny Inkai» mine.  All indicators correspond to natural values. </w:t>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color w:val="FF0000"/>
          <w:spacing w:val="-4"/>
          <w:sz w:val="24"/>
          <w:szCs w:val="24"/>
          <w:lang w:eastAsia="ru-RU"/>
        </w:rPr>
      </w:pPr>
      <w:r>
        <w:rPr>
          <w:rFonts w:eastAsia="Times New Roman" w:cs="Times New Roman" w:ascii="Times New Roman" w:hAnsi="Times New Roman"/>
          <w:color w:val="FF0000"/>
          <w:spacing w:val="-4"/>
          <w:sz w:val="24"/>
          <w:szCs w:val="24"/>
          <w:lang w:eastAsia="ru-RU"/>
        </w:rPr>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color w:val="FF0000"/>
          <w:spacing w:val="-4"/>
          <w:sz w:val="24"/>
          <w:szCs w:val="24"/>
          <w:lang w:eastAsia="ru-RU"/>
        </w:rPr>
      </w:pPr>
      <w:r>
        <w:rPr>
          <w:rFonts w:eastAsia="Times New Roman" w:cs="Times New Roman" w:ascii="Times New Roman" w:hAnsi="Times New Roman"/>
          <w:color w:val="FF0000"/>
          <w:spacing w:val="-4"/>
          <w:sz w:val="24"/>
          <w:szCs w:val="24"/>
          <w:lang w:eastAsia="ru-RU"/>
        </w:rPr>
      </w:r>
    </w:p>
    <w:p>
      <w:pPr>
        <w:pStyle w:val="Normal"/>
        <w:tabs>
          <w:tab w:val="clear" w:pos="708"/>
          <w:tab w:val="left" w:pos="993" w:leader="none"/>
        </w:tabs>
        <w:spacing w:lineRule="auto" w:line="240" w:before="0" w:after="0"/>
        <w:jc w:val="center"/>
        <w:rPr>
          <w:rFonts w:ascii="Times New Roman" w:hAnsi="Times New Roman" w:eastAsia="Times New Roman" w:cs="Times New Roman"/>
          <w:b/>
          <w:spacing w:val="-4"/>
          <w:sz w:val="24"/>
          <w:szCs w:val="24"/>
          <w:lang w:eastAsia="ru-RU"/>
        </w:rPr>
      </w:pPr>
      <w:r>
        <w:rPr>
          <w:rFonts w:eastAsia="Times New Roman" w:cs="Times New Roman" w:ascii="Times New Roman" w:hAnsi="Times New Roman"/>
          <w:b/>
          <w:spacing w:val="-4"/>
          <w:sz w:val="24"/>
          <w:szCs w:val="24"/>
          <w:lang w:eastAsia="ru-RU"/>
        </w:rPr>
        <w:t xml:space="preserve">Assessment of the state of biodiversity </w:t>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i/>
          <w:i/>
          <w:sz w:val="24"/>
          <w:szCs w:val="24"/>
          <w:lang w:eastAsia="ru-RU"/>
        </w:rPr>
      </w:pPr>
      <w:r>
        <w:rPr>
          <w:rFonts w:eastAsia="Times New Roman" w:cs="Times New Roman" w:ascii="Times New Roman" w:hAnsi="Times New Roman"/>
          <w:i/>
          <w:sz w:val="24"/>
          <w:szCs w:val="24"/>
          <w:lang w:eastAsia="ru-RU"/>
        </w:rPr>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i/>
          <w:iCs/>
          <w:sz w:val="24"/>
          <w:szCs w:val="24"/>
          <w:lang w:eastAsia="ru-RU"/>
        </w:rPr>
        <w:t>Vegetation cover.</w:t>
      </w:r>
      <w:r>
        <w:rPr>
          <w:rFonts w:eastAsia="Times New Roman" w:cs="Times New Roman" w:ascii="Times New Roman" w:hAnsi="Times New Roman"/>
          <w:sz w:val="24"/>
          <w:szCs w:val="24"/>
          <w:lang w:eastAsia="ru-RU"/>
        </w:rPr>
        <w:t xml:space="preserve"> During the survey of the territory adjacent to the Southern Inkai mine, 75 plant species were recorded. . </w:t>
      </w:r>
    </w:p>
    <w:p>
      <w:pPr>
        <w:pStyle w:val="Normal"/>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Black saxaul (leafless) is valued as a fuel, fodder and technical plant. </w:t>
      </w:r>
    </w:p>
    <w:p>
      <w:pPr>
        <w:pStyle w:val="Normal"/>
        <w:spacing w:lineRule="auto" w:line="240" w:before="0" w:after="0"/>
        <w:ind w:firstLine="709"/>
        <w:jc w:val="both"/>
        <w:rPr>
          <w:rFonts w:ascii="Times New Roman" w:hAnsi="Times New Roman" w:eastAsia="Calibri" w:cs="Times New Roman"/>
          <w:bCs/>
          <w:i/>
          <w:i/>
          <w:sz w:val="24"/>
          <w:szCs w:val="24"/>
        </w:rPr>
      </w:pPr>
      <w:r>
        <w:rPr>
          <w:rFonts w:eastAsia="Calibri" w:cs="Times New Roman" w:ascii="Times New Roman" w:hAnsi="Times New Roman"/>
          <w:bCs/>
          <w:i/>
          <w:sz w:val="24"/>
          <w:szCs w:val="24"/>
        </w:rPr>
        <w:t xml:space="preserve">No rare, endangered or endemic plants have been identified in the area of the Southern Inkai mine. </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jc w:val="both"/>
        <w:rPr>
          <w:rFonts w:ascii="Times New Roman" w:hAnsi="Times New Roman" w:eastAsia="Calibri" w:cs="Times New Roman"/>
          <w:bCs/>
          <w:sz w:val="24"/>
          <w:szCs w:val="24"/>
        </w:rPr>
      </w:pPr>
      <w:r>
        <w:rPr/>
        <w:drawing>
          <wp:inline distT="0" distB="0" distL="0" distR="0">
            <wp:extent cx="2743200" cy="2057400"/>
            <wp:effectExtent l="0" t="0" r="0" b="0"/>
            <wp:docPr id="1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 descr=""/>
                    <pic:cNvPicPr>
                      <a:picLocks noChangeAspect="1" noChangeArrowheads="1"/>
                    </pic:cNvPicPr>
                  </pic:nvPicPr>
                  <pic:blipFill>
                    <a:blip r:embed="rId17"/>
                    <a:stretch>
                      <a:fillRect/>
                    </a:stretch>
                  </pic:blipFill>
                  <pic:spPr bwMode="auto">
                    <a:xfrm>
                      <a:off x="0" y="0"/>
                      <a:ext cx="2743200" cy="2057400"/>
                    </a:xfrm>
                    <a:prstGeom prst="rect">
                      <a:avLst/>
                    </a:prstGeom>
                  </pic:spPr>
                </pic:pic>
              </a:graphicData>
            </a:graphic>
          </wp:inline>
        </w:drawing>
      </w:r>
      <w:r>
        <w:rPr>
          <w:rFonts w:eastAsia="Calibri" w:cs="Times New Roman" w:ascii="Times New Roman" w:hAnsi="Times New Roman"/>
          <w:bCs/>
          <w:sz w:val="24"/>
          <w:szCs w:val="24"/>
        </w:rPr>
        <w:t xml:space="preserve">   </w:t>
      </w:r>
      <w:r>
        <w:rPr/>
        <w:drawing>
          <wp:inline distT="0" distB="0" distL="0" distR="0">
            <wp:extent cx="2749550" cy="2071370"/>
            <wp:effectExtent l="0" t="0" r="0" b="0"/>
            <wp:docPr id="1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 descr=""/>
                    <pic:cNvPicPr>
                      <a:picLocks noChangeAspect="1" noChangeArrowheads="1"/>
                    </pic:cNvPicPr>
                  </pic:nvPicPr>
                  <pic:blipFill>
                    <a:blip r:embed="rId18"/>
                    <a:srcRect l="27183" t="22378" r="33026" b="24304"/>
                    <a:stretch>
                      <a:fillRect/>
                    </a:stretch>
                  </pic:blipFill>
                  <pic:spPr bwMode="auto">
                    <a:xfrm>
                      <a:off x="0" y="0"/>
                      <a:ext cx="2749550" cy="2071370"/>
                    </a:xfrm>
                    <a:prstGeom prst="rect">
                      <a:avLst/>
                    </a:prstGeom>
                  </pic:spPr>
                </pic:pic>
              </a:graphicData>
            </a:graphic>
          </wp:inline>
        </w:drawing>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Style w:val="Strong"/>
          <w:rFonts w:eastAsia="Calibri" w:cs="Times New Roman" w:ascii="Times New Roman" w:hAnsi="Times New Roman"/>
          <w:b w:val="false"/>
          <w:bCs w:val="false"/>
          <w:sz w:val="24"/>
          <w:szCs w:val="24"/>
        </w:rPr>
        <w:t>Glossy Ibis</w:t>
      </w:r>
      <w:r>
        <w:rPr>
          <w:rStyle w:val="Strong"/>
          <w:rFonts w:eastAsia="Calibri" w:cs="Times New Roman" w:ascii="Times New Roman" w:hAnsi="Times New Roman"/>
          <w:sz w:val="24"/>
          <w:szCs w:val="24"/>
        </w:rPr>
        <w:t xml:space="preserve"> </w:t>
      </w:r>
      <w:r>
        <w:rPr>
          <w:rFonts w:eastAsia="Calibri" w:cs="Times New Roman" w:ascii="Times New Roman" w:hAnsi="Times New Roman"/>
          <w:bCs/>
          <w:sz w:val="24"/>
          <w:szCs w:val="24"/>
        </w:rPr>
        <w:t xml:space="preserve"> (</w:t>
      </w:r>
      <w:r>
        <w:rPr>
          <w:rFonts w:eastAsia="Calibri" w:cs="Times New Roman" w:ascii="Times New Roman" w:hAnsi="Times New Roman"/>
          <w:bCs/>
          <w:i/>
          <w:sz w:val="24"/>
          <w:szCs w:val="24"/>
        </w:rPr>
        <w:t>Plegadis falcinellus</w:t>
      </w:r>
      <w:r>
        <w:rPr>
          <w:rFonts w:eastAsia="Calibri" w:cs="Times New Roman" w:ascii="Times New Roman" w:hAnsi="Times New Roman"/>
          <w:bCs/>
          <w:sz w:val="24"/>
          <w:szCs w:val="24"/>
        </w:rPr>
        <w:t xml:space="preserve">)                       </w:t>
      </w:r>
      <w:r>
        <w:rPr>
          <w:rStyle w:val="Strong"/>
          <w:rFonts w:eastAsia="Calibri" w:cs="Times New Roman" w:ascii="Times New Roman" w:hAnsi="Times New Roman"/>
          <w:b w:val="false"/>
          <w:bCs w:val="false"/>
          <w:sz w:val="24"/>
          <w:szCs w:val="24"/>
        </w:rPr>
        <w:t>Steppe Eagle</w:t>
      </w:r>
      <w:r>
        <w:rPr>
          <w:rStyle w:val="Strong"/>
          <w:rFonts w:eastAsia="Calibri" w:cs="Times New Roman" w:ascii="Times New Roman" w:hAnsi="Times New Roman"/>
          <w:sz w:val="24"/>
          <w:szCs w:val="24"/>
        </w:rPr>
        <w:t xml:space="preserve"> </w:t>
      </w:r>
      <w:r>
        <w:rPr>
          <w:rFonts w:eastAsia="Calibri" w:cs="Times New Roman" w:ascii="Times New Roman" w:hAnsi="Times New Roman"/>
          <w:bCs/>
          <w:sz w:val="24"/>
          <w:szCs w:val="24"/>
        </w:rPr>
        <w:t xml:space="preserve"> (</w:t>
      </w:r>
      <w:r>
        <w:rPr>
          <w:rFonts w:eastAsia="Calibri" w:cs="Times New Roman" w:ascii="Times New Roman" w:hAnsi="Times New Roman"/>
          <w:bCs/>
          <w:i/>
          <w:sz w:val="24"/>
          <w:szCs w:val="24"/>
        </w:rPr>
        <w:t>Aquila nipalensis</w:t>
      </w:r>
      <w:r>
        <w:rPr>
          <w:rFonts w:eastAsia="Calibri" w:cs="Times New Roman" w:ascii="Times New Roman" w:hAnsi="Times New Roman"/>
          <w:bCs/>
          <w:sz w:val="24"/>
          <w:szCs w:val="24"/>
        </w:rPr>
        <w:t>)</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jc w:val="both"/>
        <w:rPr>
          <w:rFonts w:ascii="Times New Roman" w:hAnsi="Times New Roman" w:eastAsia="Calibri" w:cs="Times New Roman"/>
          <w:bCs/>
          <w:sz w:val="24"/>
          <w:szCs w:val="24"/>
        </w:rPr>
      </w:pPr>
      <w:r>
        <w:rPr/>
        <w:drawing>
          <wp:inline distT="0" distB="0" distL="0" distR="0">
            <wp:extent cx="2816860" cy="2619375"/>
            <wp:effectExtent l="0" t="0" r="0" b="0"/>
            <wp:docPr id="18"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descr=""/>
                    <pic:cNvPicPr>
                      <a:picLocks noChangeAspect="1" noChangeArrowheads="1"/>
                    </pic:cNvPicPr>
                  </pic:nvPicPr>
                  <pic:blipFill>
                    <a:blip r:embed="rId19"/>
                    <a:srcRect l="30785" t="17953" r="34901" b="25312"/>
                    <a:stretch>
                      <a:fillRect/>
                    </a:stretch>
                  </pic:blipFill>
                  <pic:spPr bwMode="auto">
                    <a:xfrm>
                      <a:off x="0" y="0"/>
                      <a:ext cx="2816860" cy="2619375"/>
                    </a:xfrm>
                    <a:prstGeom prst="rect">
                      <a:avLst/>
                    </a:prstGeom>
                  </pic:spPr>
                </pic:pic>
              </a:graphicData>
            </a:graphic>
          </wp:inline>
        </w:drawing>
      </w:r>
      <w:r>
        <w:rPr>
          <w:rFonts w:eastAsia="Calibri" w:cs="Times New Roman" w:ascii="Times New Roman" w:hAnsi="Times New Roman"/>
          <w:bCs/>
          <w:sz w:val="24"/>
          <w:szCs w:val="24"/>
        </w:rPr>
        <w:t xml:space="preserve">    </w:t>
      </w:r>
      <w:r>
        <w:rPr/>
        <w:drawing>
          <wp:inline distT="0" distB="0" distL="0" distR="0">
            <wp:extent cx="2326005" cy="2635885"/>
            <wp:effectExtent l="0" t="0" r="0" b="0"/>
            <wp:docPr id="19"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descr=""/>
                    <pic:cNvPicPr>
                      <a:picLocks noChangeAspect="1" noChangeArrowheads="1"/>
                    </pic:cNvPicPr>
                  </pic:nvPicPr>
                  <pic:blipFill>
                    <a:blip r:embed="rId20"/>
                    <a:srcRect l="42499" t="25512" r="26217" b="11480"/>
                    <a:stretch>
                      <a:fillRect/>
                    </a:stretch>
                  </pic:blipFill>
                  <pic:spPr bwMode="auto">
                    <a:xfrm>
                      <a:off x="0" y="0"/>
                      <a:ext cx="2326005" cy="2635885"/>
                    </a:xfrm>
                    <a:prstGeom prst="rect">
                      <a:avLst/>
                    </a:prstGeom>
                  </pic:spPr>
                </pic:pic>
              </a:graphicData>
            </a:graphic>
          </wp:inline>
        </w:drawing>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Style w:val="Strong"/>
          <w:rFonts w:eastAsia="Calibri" w:cs="Times New Roman" w:ascii="Times New Roman" w:hAnsi="Times New Roman"/>
          <w:b w:val="false"/>
          <w:bCs w:val="false"/>
          <w:sz w:val="24"/>
          <w:szCs w:val="24"/>
        </w:rPr>
        <w:t>Imperial Eagle</w:t>
      </w:r>
      <w:r>
        <w:rPr>
          <w:rFonts w:eastAsia="Calibri" w:cs="Times New Roman" w:ascii="Times New Roman" w:hAnsi="Times New Roman"/>
          <w:bCs/>
          <w:sz w:val="24"/>
          <w:szCs w:val="24"/>
        </w:rPr>
        <w:t xml:space="preserve">  (</w:t>
      </w:r>
      <w:r>
        <w:rPr>
          <w:rFonts w:eastAsia="Calibri" w:cs="Times New Roman" w:ascii="Times New Roman" w:hAnsi="Times New Roman"/>
          <w:bCs/>
          <w:i/>
          <w:sz w:val="24"/>
          <w:szCs w:val="24"/>
        </w:rPr>
        <w:t>Aquila heliaca</w:t>
      </w:r>
      <w:r>
        <w:rPr>
          <w:rFonts w:eastAsia="Calibri" w:cs="Times New Roman" w:ascii="Times New Roman" w:hAnsi="Times New Roman"/>
          <w:bCs/>
          <w:sz w:val="24"/>
          <w:szCs w:val="24"/>
        </w:rPr>
        <w:t xml:space="preserve">)           </w:t>
      </w:r>
      <w:r>
        <w:rPr>
          <w:rFonts w:eastAsia="Calibri" w:cs="Times New Roman" w:ascii="Times New Roman" w:hAnsi="Times New Roman"/>
          <w:bCs/>
          <w:sz w:val="24"/>
          <w:szCs w:val="24"/>
          <w:lang w:eastAsia="ru-RU"/>
        </w:rPr>
        <w:t xml:space="preserve">Lesser Florican </w:t>
      </w:r>
      <w:r>
        <w:rPr>
          <w:rFonts w:cs="Times New Roman" w:ascii="Times New Roman" w:hAnsi="Times New Roman"/>
          <w:sz w:val="24"/>
          <w:szCs w:val="24"/>
          <w:lang w:eastAsia="ru-RU"/>
        </w:rPr>
        <w:t xml:space="preserve"> (</w:t>
      </w:r>
      <w:r>
        <w:rPr>
          <w:rFonts w:cs="Times New Roman" w:ascii="Times New Roman" w:hAnsi="Times New Roman"/>
          <w:i/>
          <w:sz w:val="24"/>
          <w:szCs w:val="24"/>
          <w:lang w:eastAsia="ru-RU"/>
        </w:rPr>
        <w:t>Chlamydotis macqueenii</w:t>
      </w:r>
      <w:r>
        <w:rPr>
          <w:rFonts w:cs="Times New Roman" w:ascii="Times New Roman" w:hAnsi="Times New Roman"/>
          <w:sz w:val="24"/>
          <w:szCs w:val="24"/>
          <w:lang w:eastAsia="ru-RU"/>
        </w:rPr>
        <w:t>)</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tabs>
          <w:tab w:val="clear" w:pos="708"/>
          <w:tab w:val="left" w:pos="993" w:leader="none"/>
        </w:tabs>
        <w:spacing w:lineRule="auto" w:line="240" w:before="0" w:after="0"/>
        <w:jc w:val="both"/>
        <w:rPr>
          <w:rFonts w:ascii="Times New Roman" w:hAnsi="Times New Roman" w:eastAsia="Calibri" w:cs="Times New Roman"/>
          <w:bCs/>
          <w:sz w:val="24"/>
          <w:szCs w:val="24"/>
        </w:rPr>
      </w:pPr>
      <w:r>
        <w:rPr/>
        <w:drawing>
          <wp:inline distT="0" distB="0" distL="0" distR="0">
            <wp:extent cx="2823210" cy="2117090"/>
            <wp:effectExtent l="0" t="0" r="0" b="0"/>
            <wp:docPr id="20"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
                    <pic:cNvPicPr>
                      <a:picLocks noChangeAspect="1" noChangeArrowheads="1"/>
                    </pic:cNvPicPr>
                  </pic:nvPicPr>
                  <pic:blipFill>
                    <a:blip r:embed="rId21"/>
                    <a:stretch>
                      <a:fillRect/>
                    </a:stretch>
                  </pic:blipFill>
                  <pic:spPr bwMode="auto">
                    <a:xfrm>
                      <a:off x="0" y="0"/>
                      <a:ext cx="2823210" cy="2117090"/>
                    </a:xfrm>
                    <a:prstGeom prst="rect">
                      <a:avLst/>
                    </a:prstGeom>
                  </pic:spPr>
                </pic:pic>
              </a:graphicData>
            </a:graphic>
          </wp:inline>
        </w:drawing>
      </w:r>
      <w:r>
        <w:rPr>
          <w:rFonts w:eastAsia="Calibri" w:cs="Times New Roman" w:ascii="Times New Roman" w:hAnsi="Times New Roman"/>
          <w:bCs/>
          <w:sz w:val="24"/>
          <w:szCs w:val="24"/>
        </w:rPr>
        <w:t xml:space="preserve">   </w:t>
      </w:r>
      <w:r>
        <w:rPr/>
        <w:drawing>
          <wp:inline distT="0" distB="0" distL="0" distR="0">
            <wp:extent cx="2919730" cy="1972945"/>
            <wp:effectExtent l="0" t="0" r="0" b="0"/>
            <wp:docPr id="21"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
                    <pic:cNvPicPr>
                      <a:picLocks noChangeAspect="1" noChangeArrowheads="1"/>
                    </pic:cNvPicPr>
                  </pic:nvPicPr>
                  <pic:blipFill>
                    <a:blip r:embed="rId22"/>
                    <a:srcRect l="0" t="0" r="6265" b="15543"/>
                    <a:stretch>
                      <a:fillRect/>
                    </a:stretch>
                  </pic:blipFill>
                  <pic:spPr bwMode="auto">
                    <a:xfrm>
                      <a:off x="0" y="0"/>
                      <a:ext cx="2919730" cy="1972945"/>
                    </a:xfrm>
                    <a:prstGeom prst="rect">
                      <a:avLst/>
                    </a:prstGeom>
                  </pic:spPr>
                </pic:pic>
              </a:graphicData>
            </a:graphic>
          </wp:inline>
        </w:drawing>
      </w:r>
      <w:r>
        <w:rPr>
          <w:rFonts w:eastAsia="Calibri" w:cs="Times New Roman" w:ascii="Times New Roman" w:hAnsi="Times New Roman"/>
          <w:bCs/>
          <w:sz w:val="24"/>
          <w:szCs w:val="24"/>
        </w:rPr>
        <w:t xml:space="preserve"> </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Style w:val="Strong"/>
          <w:rFonts w:cs="Times New Roman" w:ascii="Times New Roman" w:hAnsi="Times New Roman"/>
          <w:b w:val="false"/>
          <w:bCs w:val="false"/>
          <w:sz w:val="24"/>
          <w:szCs w:val="28"/>
        </w:rPr>
        <w:t>Pallas's Sandgrouse</w:t>
      </w:r>
      <w:r>
        <w:rPr>
          <w:rFonts w:cs="Times New Roman" w:ascii="Times New Roman" w:hAnsi="Times New Roman"/>
          <w:b w:val="false"/>
          <w:bCs w:val="false"/>
          <w:sz w:val="24"/>
          <w:szCs w:val="28"/>
        </w:rPr>
        <w:t xml:space="preserve"> </w:t>
      </w:r>
      <w:r>
        <w:rPr>
          <w:rFonts w:cs="Times New Roman" w:ascii="Times New Roman" w:hAnsi="Times New Roman"/>
          <w:sz w:val="24"/>
          <w:szCs w:val="28"/>
        </w:rPr>
        <w:t xml:space="preserve"> (</w:t>
      </w:r>
      <w:r>
        <w:rPr>
          <w:rFonts w:cs="Times New Roman" w:ascii="Times New Roman" w:hAnsi="Times New Roman"/>
          <w:i/>
          <w:sz w:val="24"/>
          <w:szCs w:val="28"/>
        </w:rPr>
        <w:t>Pterocles alchata</w:t>
      </w:r>
      <w:r>
        <w:rPr>
          <w:rFonts w:cs="Times New Roman" w:ascii="Times New Roman" w:hAnsi="Times New Roman"/>
          <w:sz w:val="24"/>
          <w:szCs w:val="28"/>
        </w:rPr>
        <w:t>)      Black-bellied Sandgrouse  (</w:t>
      </w:r>
      <w:r>
        <w:rPr>
          <w:rFonts w:cs="Times New Roman" w:ascii="Times New Roman" w:hAnsi="Times New Roman"/>
          <w:i/>
          <w:sz w:val="24"/>
          <w:szCs w:val="28"/>
        </w:rPr>
        <w:t>Pterocles orientalis</w:t>
      </w:r>
      <w:r>
        <w:rPr>
          <w:rFonts w:cs="Times New Roman" w:ascii="Times New Roman" w:hAnsi="Times New Roman"/>
          <w:sz w:val="24"/>
          <w:szCs w:val="28"/>
        </w:rPr>
        <w:t xml:space="preserve">) </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Fonts w:eastAsia="Calibri" w:cs="Times New Roman" w:ascii="Times New Roman" w:hAnsi="Times New Roman"/>
          <w:bCs/>
          <w:szCs w:val="24"/>
        </w:rPr>
      </w:r>
    </w:p>
    <w:p>
      <w:pPr>
        <w:pStyle w:val="Normal"/>
        <w:tabs>
          <w:tab w:val="clear" w:pos="708"/>
          <w:tab w:val="left" w:pos="993" w:leader="none"/>
        </w:tabs>
        <w:spacing w:lineRule="auto" w:line="240" w:before="0" w:after="0"/>
        <w:jc w:val="both"/>
        <w:rPr>
          <w:rFonts w:ascii="Times New Roman" w:hAnsi="Times New Roman" w:eastAsia="Calibri" w:cs="Times New Roman"/>
          <w:bCs/>
          <w:szCs w:val="24"/>
        </w:rPr>
      </w:pPr>
      <w:r>
        <w:rPr/>
        <w:drawing>
          <wp:inline distT="0" distB="0" distL="0" distR="0">
            <wp:extent cx="2895600" cy="1902460"/>
            <wp:effectExtent l="0" t="0" r="0" b="0"/>
            <wp:docPr id="22" name="Picture 4" descr="DSC_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SC_0746"/>
                    <pic:cNvPicPr>
                      <a:picLocks noChangeAspect="1" noChangeArrowheads="1"/>
                    </pic:cNvPicPr>
                  </pic:nvPicPr>
                  <pic:blipFill>
                    <a:blip r:embed="rId23"/>
                    <a:stretch>
                      <a:fillRect/>
                    </a:stretch>
                  </pic:blipFill>
                  <pic:spPr bwMode="auto">
                    <a:xfrm>
                      <a:off x="0" y="0"/>
                      <a:ext cx="2895600" cy="1902460"/>
                    </a:xfrm>
                    <a:prstGeom prst="rect">
                      <a:avLst/>
                    </a:prstGeom>
                  </pic:spPr>
                </pic:pic>
              </a:graphicData>
            </a:graphic>
          </wp:inline>
        </w:drawing>
      </w:r>
      <w:r>
        <w:rPr>
          <w:rFonts w:eastAsia="Calibri" w:cs="Times New Roman" w:ascii="Times New Roman" w:hAnsi="Times New Roman"/>
          <w:bCs/>
          <w:szCs w:val="24"/>
        </w:rPr>
        <w:t xml:space="preserve">    </w:t>
      </w:r>
      <w:r>
        <w:rPr/>
        <w:drawing>
          <wp:inline distT="0" distB="0" distL="0" distR="0">
            <wp:extent cx="2797810" cy="2526030"/>
            <wp:effectExtent l="0" t="0" r="0" b="0"/>
            <wp:docPr id="23" name="Рисунок 30" descr="https://aviales.kz/uploads/posts/2018-12/1545709138_c8dfa25856eede94376d5d8be69b1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0" descr="https://aviales.kz/uploads/posts/2018-12/1545709138_c8dfa25856eede94376d5d8be69b16bb.jpg"/>
                    <pic:cNvPicPr>
                      <a:picLocks noChangeAspect="1" noChangeArrowheads="1"/>
                    </pic:cNvPicPr>
                  </pic:nvPicPr>
                  <pic:blipFill>
                    <a:blip r:embed="rId24"/>
                    <a:stretch>
                      <a:fillRect/>
                    </a:stretch>
                  </pic:blipFill>
                  <pic:spPr bwMode="auto">
                    <a:xfrm>
                      <a:off x="0" y="0"/>
                      <a:ext cx="2797810" cy="2526030"/>
                    </a:xfrm>
                    <a:prstGeom prst="rect">
                      <a:avLst/>
                    </a:prstGeom>
                  </pic:spPr>
                </pic:pic>
              </a:graphicData>
            </a:graphic>
          </wp:inline>
        </w:drawing>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lang w:bidi="en-US"/>
        </w:rPr>
        <w:t>Corsac Fox (</w:t>
      </w:r>
      <w:hyperlink r:id="rId25" w:tgtFrame="Vulpes corsac">
        <w:r>
          <w:rPr>
            <w:rFonts w:eastAsia="Calibri" w:cs="Times New Roman" w:ascii="Times New Roman" w:hAnsi="Times New Roman"/>
            <w:i/>
            <w:iCs/>
            <w:sz w:val="24"/>
            <w:shd w:fill="F8F9FA" w:val="clear"/>
            <w:lang w:val="en-US" w:bidi="en-US"/>
          </w:rPr>
          <w:t>Vulpes</w:t>
        </w:r>
        <w:r>
          <w:rPr>
            <w:rFonts w:eastAsia="Calibri" w:cs="Times New Roman" w:ascii="Times New Roman" w:hAnsi="Times New Roman"/>
            <w:i/>
            <w:iCs/>
            <w:sz w:val="24"/>
            <w:shd w:fill="F8F9FA" w:val="clear"/>
            <w:lang w:bidi="en-US"/>
          </w:rPr>
          <w:t xml:space="preserve"> </w:t>
        </w:r>
        <w:r>
          <w:rPr>
            <w:rFonts w:eastAsia="Calibri" w:cs="Times New Roman" w:ascii="Times New Roman" w:hAnsi="Times New Roman"/>
            <w:i/>
            <w:iCs/>
            <w:sz w:val="24"/>
            <w:shd w:fill="F8F9FA" w:val="clear"/>
            <w:lang w:val="en-US" w:bidi="en-US"/>
          </w:rPr>
          <w:t>corsac</w:t>
        </w:r>
      </w:hyperlink>
      <w:r>
        <w:rPr>
          <w:rFonts w:eastAsia="Calibri" w:cs="Times New Roman" w:ascii="Times New Roman" w:hAnsi="Times New Roman"/>
          <w:sz w:val="24"/>
          <w:lang w:bidi="en-US"/>
        </w:rPr>
        <w:t>)                                 Goitered Gazelle  (Gazella subgutturosa)</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Fonts w:eastAsia="Calibri" w:cs="Times New Roman" w:ascii="Times New Roman" w:hAnsi="Times New Roman"/>
          <w:bCs/>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Fonts w:eastAsia="Calibri" w:cs="Times New Roman" w:ascii="Times New Roman" w:hAnsi="Times New Roman"/>
          <w:bCs/>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Fonts w:eastAsia="Calibri" w:cs="Times New Roman" w:ascii="Times New Roman" w:hAnsi="Times New Roman"/>
          <w:bCs/>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Fonts w:eastAsia="Calibri" w:cs="Times New Roman" w:ascii="Times New Roman" w:hAnsi="Times New Roman"/>
          <w:bCs/>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rFonts w:eastAsia="Calibri" w:cs="Times New Roman" w:ascii="Times New Roman" w:hAnsi="Times New Roman"/>
          <w:bCs/>
          <w:szCs w:val="24"/>
        </w:rPr>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Cs w:val="24"/>
        </w:rPr>
      </w:pPr>
      <w:r>
        <w:rPr/>
        <w:drawing>
          <wp:inline distT="0" distB="0" distL="0" distR="0">
            <wp:extent cx="2471420" cy="2628900"/>
            <wp:effectExtent l="0" t="0" r="0" b="0"/>
            <wp:docPr id="24" name="Рисунок 31" descr="Заяц-тол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1" descr="Заяц-толай"/>
                    <pic:cNvPicPr>
                      <a:picLocks noChangeAspect="1" noChangeArrowheads="1"/>
                    </pic:cNvPicPr>
                  </pic:nvPicPr>
                  <pic:blipFill>
                    <a:blip r:embed="rId26"/>
                    <a:stretch>
                      <a:fillRect/>
                    </a:stretch>
                  </pic:blipFill>
                  <pic:spPr bwMode="auto">
                    <a:xfrm>
                      <a:off x="0" y="0"/>
                      <a:ext cx="2471420" cy="2628900"/>
                    </a:xfrm>
                    <a:prstGeom prst="rect">
                      <a:avLst/>
                    </a:prstGeom>
                  </pic:spPr>
                </pic:pic>
              </a:graphicData>
            </a:graphic>
          </wp:inline>
        </w:drawing>
      </w:r>
      <w:r>
        <w:rPr>
          <w:rFonts w:eastAsia="Calibri" w:cs="Times New Roman" w:ascii="Times New Roman" w:hAnsi="Times New Roman"/>
          <w:bCs/>
          <w:szCs w:val="24"/>
        </w:rPr>
        <w:t xml:space="preserve">      </w:t>
      </w:r>
      <w:r>
        <w:rPr/>
        <w:drawing>
          <wp:inline distT="0" distB="0" distL="0" distR="0">
            <wp:extent cx="2035810" cy="2710180"/>
            <wp:effectExtent l="0" t="0" r="0" b="0"/>
            <wp:docPr id="25" name="Рисунок 32" descr="Селевиния / Selevinia betpakdala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2" descr="Селевиния / Selevinia betpakdalaensis"/>
                    <pic:cNvPicPr>
                      <a:picLocks noChangeAspect="1" noChangeArrowheads="1"/>
                    </pic:cNvPicPr>
                  </pic:nvPicPr>
                  <pic:blipFill>
                    <a:blip r:embed="rId27"/>
                    <a:stretch>
                      <a:fillRect/>
                    </a:stretch>
                  </pic:blipFill>
                  <pic:spPr bwMode="auto">
                    <a:xfrm>
                      <a:off x="0" y="0"/>
                      <a:ext cx="2035810" cy="2710180"/>
                    </a:xfrm>
                    <a:prstGeom prst="rect">
                      <a:avLst/>
                    </a:prstGeom>
                  </pic:spPr>
                </pic:pic>
              </a:graphicData>
            </a:graphic>
          </wp:inline>
        </w:drawing>
      </w:r>
    </w:p>
    <w:p>
      <w:pPr>
        <w:pStyle w:val="Normal"/>
        <w:tabs>
          <w:tab w:val="clear" w:pos="708"/>
          <w:tab w:val="left" w:pos="993" w:leader="none"/>
        </w:tabs>
        <w:spacing w:lineRule="auto" w:line="240" w:before="0" w:after="0"/>
        <w:jc w:val="both"/>
        <w:rPr>
          <w:rFonts w:ascii="Times New Roman" w:hAnsi="Times New Roman" w:eastAsia="Calibri" w:cs="Times New Roman"/>
          <w:bCs/>
          <w:sz w:val="24"/>
          <w:szCs w:val="24"/>
        </w:rPr>
      </w:pPr>
      <w:r>
        <w:rPr>
          <w:rStyle w:val="Strong"/>
          <w:rFonts w:eastAsia="Calibri" w:cs="Times New Roman" w:ascii="Times New Roman" w:hAnsi="Times New Roman"/>
          <w:b w:val="false"/>
          <w:bCs w:val="false"/>
          <w:sz w:val="24"/>
          <w:szCs w:val="24"/>
        </w:rPr>
        <w:t>Tolai Hare</w:t>
      </w:r>
      <w:r>
        <w:rPr>
          <w:rFonts w:eastAsia="Calibri" w:cs="Times New Roman" w:ascii="Times New Roman" w:hAnsi="Times New Roman"/>
          <w:b/>
          <w:bCs/>
          <w:sz w:val="24"/>
          <w:szCs w:val="24"/>
        </w:rPr>
        <w:t xml:space="preserve"> </w:t>
      </w:r>
      <w:r>
        <w:rPr>
          <w:rFonts w:eastAsia="Calibri" w:cs="Times New Roman" w:ascii="Times New Roman" w:hAnsi="Times New Roman"/>
          <w:bCs/>
          <w:sz w:val="24"/>
          <w:szCs w:val="24"/>
        </w:rPr>
        <w:t xml:space="preserve"> (</w:t>
      </w:r>
      <w:r>
        <w:rPr>
          <w:rFonts w:eastAsia="Calibri" w:cs="Times New Roman" w:ascii="Times New Roman" w:hAnsi="Times New Roman"/>
          <w:bCs/>
          <w:i/>
          <w:sz w:val="24"/>
          <w:szCs w:val="24"/>
        </w:rPr>
        <w:t>Lepus tolai</w:t>
      </w:r>
      <w:r>
        <w:rPr>
          <w:rFonts w:eastAsia="Calibri" w:cs="Times New Roman" w:ascii="Times New Roman" w:hAnsi="Times New Roman"/>
          <w:bCs/>
          <w:sz w:val="24"/>
          <w:szCs w:val="24"/>
        </w:rPr>
        <w:t xml:space="preserve">)                 </w:t>
      </w:r>
      <w:r>
        <w:rPr>
          <w:rFonts w:eastAsia="Calibri" w:cs="Times New Roman" w:ascii="Times New Roman" w:hAnsi="Times New Roman"/>
          <w:b/>
          <w:bCs/>
          <w:sz w:val="24"/>
          <w:szCs w:val="24"/>
        </w:rPr>
        <w:t xml:space="preserve"> </w:t>
      </w:r>
      <w:r>
        <w:rPr>
          <w:rFonts w:eastAsia="Calibri" w:cs="Times New Roman" w:ascii="Times New Roman" w:hAnsi="Times New Roman"/>
          <w:b w:val="false"/>
          <w:bCs w:val="false"/>
          <w:sz w:val="24"/>
          <w:szCs w:val="24"/>
        </w:rPr>
        <w:t xml:space="preserve"> </w:t>
      </w:r>
      <w:r>
        <w:rPr>
          <w:rStyle w:val="Strong"/>
          <w:rFonts w:eastAsia="Calibri" w:cs="Times New Roman" w:ascii="Times New Roman" w:hAnsi="Times New Roman"/>
          <w:b w:val="false"/>
          <w:bCs w:val="false"/>
          <w:sz w:val="24"/>
          <w:szCs w:val="24"/>
        </w:rPr>
        <w:t>Selevinia (or Desert Dormouse)</w:t>
      </w:r>
      <w:r>
        <w:rPr>
          <w:rFonts w:eastAsia="Calibri" w:cs="Times New Roman" w:ascii="Times New Roman" w:hAnsi="Times New Roman"/>
          <w:b w:val="false"/>
          <w:bCs w:val="false"/>
          <w:sz w:val="24"/>
          <w:szCs w:val="24"/>
        </w:rPr>
        <w:t xml:space="preserve"> </w:t>
      </w:r>
      <w:r>
        <w:rPr>
          <w:rFonts w:ascii="Times New Roman" w:hAnsi="Times New Roman"/>
          <w:bCs/>
          <w:sz w:val="24"/>
          <w:szCs w:val="24"/>
        </w:rPr>
        <w:t xml:space="preserve"> (</w:t>
      </w:r>
      <w:r>
        <w:rPr>
          <w:rFonts w:ascii="Times New Roman" w:hAnsi="Times New Roman"/>
          <w:bCs/>
          <w:i/>
          <w:sz w:val="24"/>
          <w:szCs w:val="24"/>
        </w:rPr>
        <w:t>Selevinia betpakdalaensis</w:t>
      </w:r>
      <w:r>
        <w:rPr>
          <w:rFonts w:ascii="Times New Roman" w:hAnsi="Times New Roman"/>
          <w:bCs/>
          <w:sz w:val="24"/>
          <w:szCs w:val="24"/>
        </w:rPr>
        <w:t>)</w:t>
      </w:r>
    </w:p>
    <w:p>
      <w:pPr>
        <w:pStyle w:val="Normal"/>
        <w:tabs>
          <w:tab w:val="clear" w:pos="708"/>
          <w:tab w:val="left" w:pos="993" w:leader="none"/>
        </w:tabs>
        <w:spacing w:lineRule="auto" w:line="240" w:before="0" w:after="0"/>
        <w:ind w:firstLine="709"/>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BodyText"/>
        <w:tabs>
          <w:tab w:val="clear" w:pos="708"/>
          <w:tab w:val="left" w:pos="1134" w:leader="none"/>
        </w:tabs>
        <w:spacing w:lineRule="auto" w:line="240" w:before="0" w:after="0"/>
        <w:ind w:firstLine="709"/>
        <w:jc w:val="both"/>
        <w:rPr>
          <w:rFonts w:ascii="Times New Roman" w:hAnsi="Times New Roman" w:eastAsia="Calibri" w:cs="Times New Roman"/>
          <w:bCs/>
          <w:sz w:val="24"/>
          <w:szCs w:val="24"/>
        </w:rPr>
      </w:pPr>
      <w:r>
        <w:rPr>
          <w:rStyle w:val="Strong"/>
          <w:rFonts w:eastAsia="Times New Roman" w:cs="Times New Roman" w:ascii="Times New Roman" w:hAnsi="Times New Roman"/>
          <w:b w:val="false"/>
          <w:bCs w:val="false"/>
          <w:i/>
          <w:iCs/>
          <w:sz w:val="24"/>
          <w:szCs w:val="24"/>
          <w:lang w:eastAsia="ru-RU"/>
        </w:rPr>
        <w:t>Wildlife.</w:t>
      </w:r>
      <w:r>
        <w:rPr>
          <w:rStyle w:val="Strong"/>
          <w:rFonts w:eastAsia="Times New Roman" w:cs="Times New Roman" w:ascii="Times New Roman" w:hAnsi="Times New Roman"/>
          <w:sz w:val="24"/>
          <w:szCs w:val="24"/>
          <w:lang w:eastAsia="ru-RU"/>
        </w:rPr>
        <w:t xml:space="preserve"> </w:t>
      </w:r>
      <w:r>
        <w:rPr>
          <w:rFonts w:eastAsia="Times New Roman" w:cs="Times New Roman" w:ascii="Times New Roman" w:hAnsi="Times New Roman"/>
          <w:bCs/>
          <w:sz w:val="24"/>
          <w:szCs w:val="24"/>
          <w:lang w:eastAsia="ru-RU"/>
        </w:rPr>
        <w:t>Up to 36 species of mammals, 88 species of birds, 2 species of amphibians, and 16 species of reptiles inhabit the area surrounding the South Inkai mine. Among them, four mammal species listed in the Red Book of Kazakhstan are considered rare: the goitered gazelle (dzheiran), marbled polecat, steppe polecat, and Selevinia (desert dormouse). Nine bird species are also listed in the Red Book: the imperial eagle, steppe eagle, pin-tailed sandgrouse, black-bellied sandgrouse, houbara bustard (also known as "jack"), MacQueen’s bustard (saga), glossy ibis, saker falcon, and little bustard.</w:t>
      </w:r>
    </w:p>
    <w:p>
      <w:pPr>
        <w:pStyle w:val="BodyText"/>
        <w:tabs>
          <w:tab w:val="clear" w:pos="708"/>
          <w:tab w:val="left" w:pos="1134" w:leader="none"/>
        </w:tabs>
        <w:spacing w:lineRule="auto" w:line="240" w:before="0" w:after="0"/>
        <w:ind w:firstLine="709"/>
        <w:jc w:val="both"/>
        <w:rPr>
          <w:rFonts w:ascii="Times New Roman" w:hAnsi="Times New Roman" w:eastAsia="Calibri" w:cs="Times New Roman"/>
          <w:bCs/>
          <w:sz w:val="24"/>
          <w:szCs w:val="24"/>
        </w:rPr>
      </w:pPr>
      <w:r>
        <w:rPr>
          <w:rFonts w:eastAsia="Times New Roman" w:cs="Times New Roman" w:ascii="Times New Roman" w:hAnsi="Times New Roman"/>
          <w:bCs/>
          <w:sz w:val="24"/>
          <w:szCs w:val="24"/>
          <w:lang w:eastAsia="ru-RU"/>
        </w:rPr>
        <w:t>The Central Asian tortoise (Testudo horsfieldii) is listed in the International Red List (IUCN) as a vulnerable species.</w:t>
      </w:r>
    </w:p>
    <w:p>
      <w:pPr>
        <w:pStyle w:val="BodyText"/>
        <w:tabs>
          <w:tab w:val="clear" w:pos="708"/>
          <w:tab w:val="left" w:pos="1134" w:leader="none"/>
        </w:tabs>
        <w:spacing w:lineRule="auto" w:line="240" w:before="0" w:after="0"/>
        <w:ind w:firstLine="709"/>
        <w:jc w:val="both"/>
        <w:rPr>
          <w:rFonts w:ascii="Times New Roman" w:hAnsi="Times New Roman" w:eastAsia="Calibri" w:cs="Times New Roman"/>
          <w:bCs/>
          <w:sz w:val="24"/>
          <w:szCs w:val="24"/>
        </w:rPr>
      </w:pPr>
      <w:r>
        <w:rPr>
          <w:rFonts w:ascii="Times New Roman" w:hAnsi="Times New Roman"/>
          <w:sz w:val="24"/>
          <w:szCs w:val="24"/>
        </w:rPr>
        <w:t>Background (common) rodent species include: the great gerbil, red-tailed gerbil, yellow ground squirrel, and small jerboa. Among predators: corsac fox, steppe ferret, red fox, badger, and Pallas's cat. Among lagomorphs: Tolai hare. Among insectivores: long-eared hedgehog.</w:t>
      </w:r>
    </w:p>
    <w:p>
      <w:pPr>
        <w:pStyle w:val="BodyText"/>
        <w:tabs>
          <w:tab w:val="clear" w:pos="708"/>
          <w:tab w:val="left" w:pos="1134" w:leader="none"/>
        </w:tabs>
        <w:spacing w:lineRule="auto" w:line="240" w:before="0" w:after="0"/>
        <w:ind w:firstLine="709"/>
        <w:jc w:val="both"/>
        <w:rPr>
          <w:rFonts w:ascii="Times New Roman" w:hAnsi="Times New Roman" w:eastAsia="Calibri" w:cs="Times New Roman"/>
          <w:bCs/>
          <w:sz w:val="24"/>
          <w:szCs w:val="24"/>
        </w:rPr>
      </w:pPr>
      <w:r>
        <w:rPr>
          <w:rFonts w:ascii="Times New Roman" w:hAnsi="Times New Roman"/>
          <w:sz w:val="24"/>
          <w:szCs w:val="24"/>
        </w:rPr>
        <w:t>Typical background bird species include: desert wheatear, finch's wheatear, desert warbler, rusty-winged finch, tawny bunting, desert shrike, crested lark, lesser short-toed lark, and long-legged buzzard.</w:t>
      </w:r>
    </w:p>
    <w:p>
      <w:pPr>
        <w:pStyle w:val="BodyText"/>
        <w:tabs>
          <w:tab w:val="clear" w:pos="708"/>
          <w:tab w:val="left" w:pos="1134" w:leader="none"/>
        </w:tabs>
        <w:spacing w:lineRule="auto" w:line="240" w:before="0" w:after="0"/>
        <w:ind w:firstLine="709"/>
        <w:jc w:val="both"/>
        <w:rPr>
          <w:rFonts w:ascii="Times New Roman" w:hAnsi="Times New Roman" w:eastAsia="Calibri" w:cs="Times New Roman"/>
          <w:bCs/>
          <w:sz w:val="24"/>
          <w:szCs w:val="24"/>
        </w:rPr>
      </w:pPr>
      <w:r>
        <w:rPr>
          <w:rFonts w:ascii="Times New Roman" w:hAnsi="Times New Roman"/>
          <w:sz w:val="24"/>
          <w:szCs w:val="24"/>
        </w:rPr>
        <w:t>In the tree plantations around the shift camp and office of the South Inkai mine, synanthropic and dendrophilous birds are common: rock pigeons, house sparrows, flycatchers, chiffchaffs, warblers, orioles, wagtails, common mynas, and Eurasian collared doves.</w:t>
      </w:r>
    </w:p>
    <w:p>
      <w:pPr>
        <w:pStyle w:val="BodyText"/>
        <w:tabs>
          <w:tab w:val="clear" w:pos="708"/>
          <w:tab w:val="left" w:pos="1134" w:leader="none"/>
        </w:tabs>
        <w:spacing w:lineRule="auto" w:line="240" w:before="0" w:after="0"/>
        <w:ind w:firstLine="709"/>
        <w:jc w:val="both"/>
        <w:rPr>
          <w:rFonts w:ascii="Times New Roman" w:hAnsi="Times New Roman" w:eastAsia="Calibri" w:cs="Times New Roman"/>
          <w:bCs/>
          <w:sz w:val="24"/>
          <w:szCs w:val="24"/>
        </w:rPr>
      </w:pPr>
      <w:r>
        <w:rPr>
          <w:rFonts w:ascii="Times New Roman" w:hAnsi="Times New Roman"/>
          <w:sz w:val="24"/>
          <w:szCs w:val="24"/>
        </w:rPr>
        <w:t>Six species of reptiles and amphibians have been recorded: steppe-runner lizard, rapid racerunner, striped racerunner, steppe agama, arrow snake, and green toad.</w:t>
      </w:r>
    </w:p>
    <w:p>
      <w:pPr>
        <w:pStyle w:val="BodyText"/>
        <w:spacing w:before="0" w:after="0"/>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r>
    </w:p>
    <w:p>
      <w:pPr>
        <w:pStyle w:val="Normal"/>
        <w:tabs>
          <w:tab w:val="clear" w:pos="708"/>
          <w:tab w:val="left" w:pos="1134"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tabs>
          <w:tab w:val="clear" w:pos="708"/>
          <w:tab w:val="left" w:pos="1134"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BodyText"/>
        <w:tabs>
          <w:tab w:val="clear" w:pos="708"/>
          <w:tab w:val="left" w:pos="993" w:leader="none"/>
        </w:tabs>
        <w:spacing w:lineRule="auto" w:line="240" w:before="0" w:after="0"/>
        <w:ind w:firstLine="709"/>
        <w:jc w:val="center"/>
        <w:rPr/>
      </w:pPr>
      <w:r>
        <w:rPr>
          <w:rStyle w:val="Strong"/>
          <w:rFonts w:eastAsia="Times New Roman" w:cs="Times New Roman" w:ascii="Times New Roman" w:hAnsi="Times New Roman"/>
          <w:sz w:val="24"/>
          <w:szCs w:val="24"/>
          <w:lang w:eastAsia="ru-RU"/>
        </w:rPr>
        <w:t>No impact of the company’s activities on wildlife has been identified!</w:t>
      </w:r>
    </w:p>
    <w:p>
      <w:pPr>
        <w:pStyle w:val="BodyText"/>
        <w:jc w:val="both"/>
        <w:rPr>
          <w:rFonts w:ascii="Times New Roman" w:hAnsi="Times New Roman"/>
          <w:sz w:val="24"/>
          <w:szCs w:val="24"/>
        </w:rPr>
      </w:pPr>
      <w:r>
        <w:rPr>
          <w:rFonts w:ascii="Times New Roman" w:hAnsi="Times New Roman"/>
          <w:sz w:val="24"/>
          <w:szCs w:val="24"/>
        </w:rPr>
      </w:r>
    </w:p>
    <w:p>
      <w:pPr>
        <w:pStyle w:val="BodyText"/>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 xml:space="preserve"> «JV «S</w:t>
      </w:r>
      <w:r>
        <w:rPr>
          <w:rFonts w:ascii="Times New Roman" w:hAnsi="Times New Roman"/>
          <w:b/>
          <w:bCs/>
          <w:sz w:val="24"/>
          <w:szCs w:val="24"/>
          <w:lang w:val="en-US"/>
        </w:rPr>
        <w:t>M</w:t>
      </w:r>
      <w:r>
        <w:rPr>
          <w:rFonts w:ascii="Times New Roman" w:hAnsi="Times New Roman"/>
          <w:b/>
          <w:bCs/>
          <w:sz w:val="24"/>
          <w:szCs w:val="24"/>
        </w:rPr>
        <w:t>CC» LLP will continue to regularly monitor the state of the natural environment at the mine and in the surrounding areas, and will promptly take action to protect nature. Special attention will be given to the preservation of plant and animal life.</w:t>
      </w:r>
    </w:p>
    <w:p>
      <w:pPr>
        <w:pStyle w:val="Normal"/>
        <w:tabs>
          <w:tab w:val="clear" w:pos="708"/>
          <w:tab w:val="left" w:pos="993" w:leader="none"/>
        </w:tabs>
        <w:spacing w:lineRule="auto" w:line="240" w:before="0" w:after="0"/>
        <w:ind w:firstLine="709"/>
        <w:jc w:val="both"/>
        <w:rPr/>
      </w:pPr>
      <w:r>
        <w:rPr/>
      </w:r>
    </w:p>
    <w:p>
      <w:pPr>
        <w:pStyle w:val="Normal"/>
        <w:tabs>
          <w:tab w:val="clear" w:pos="708"/>
          <w:tab w:val="left" w:pos="993" w:leader="none"/>
        </w:tabs>
        <w:spacing w:lineRule="auto" w:line="240" w:before="0" w:after="0"/>
        <w:jc w:val="center"/>
        <w:rPr>
          <w:rFonts w:ascii="Times New Roman" w:hAnsi="Times New Roman" w:eastAsia="Times New Roman" w:cs="Times New Roman"/>
          <w:b/>
          <w:sz w:val="24"/>
          <w:szCs w:val="24"/>
          <w:lang w:val="kk-KZ" w:eastAsia="ru-RU"/>
        </w:rPr>
      </w:pPr>
      <w:r>
        <w:rPr>
          <w:rFonts w:eastAsia="Times New Roman" w:cs="Times New Roman" w:ascii="Times New Roman" w:hAnsi="Times New Roman"/>
          <w:b/>
          <w:sz w:val="24"/>
          <w:szCs w:val="24"/>
          <w:lang w:val="kk-KZ" w:eastAsia="ru-RU"/>
        </w:rPr>
      </w:r>
    </w:p>
    <w:p>
      <w:pPr>
        <w:pStyle w:val="Normal"/>
        <w:tabs>
          <w:tab w:val="clear" w:pos="708"/>
          <w:tab w:val="left" w:pos="993" w:leader="none"/>
        </w:tabs>
        <w:spacing w:lineRule="auto" w:line="240" w:before="0" w:after="0"/>
        <w:jc w:val="center"/>
        <w:rPr>
          <w:rFonts w:ascii="Times New Roman" w:hAnsi="Times New Roman" w:eastAsia="Times New Roman" w:cs="Times New Roman"/>
          <w:b/>
          <w:sz w:val="24"/>
          <w:szCs w:val="24"/>
          <w:lang w:val="kk-KZ" w:eastAsia="ru-RU"/>
        </w:rPr>
      </w:pPr>
      <w:r>
        <w:rPr>
          <w:rFonts w:eastAsia="Times New Roman" w:cs="Times New Roman" w:ascii="Times New Roman" w:hAnsi="Times New Roman"/>
          <w:b/>
          <w:sz w:val="24"/>
          <w:szCs w:val="24"/>
          <w:lang w:val="kk-KZ" w:eastAsia="ru-RU"/>
        </w:rPr>
      </w:r>
    </w:p>
    <w:p>
      <w:pPr>
        <w:pStyle w:val="Normal"/>
        <w:tabs>
          <w:tab w:val="clear" w:pos="708"/>
          <w:tab w:val="left" w:pos="993" w:leader="none"/>
        </w:tabs>
        <w:spacing w:lineRule="auto" w:line="240" w:before="0" w:after="0"/>
        <w:jc w:val="center"/>
        <w:rPr>
          <w:rFonts w:ascii="Times New Roman" w:hAnsi="Times New Roman" w:eastAsia="Times New Roman" w:cs="Times New Roman"/>
          <w:b/>
          <w:sz w:val="24"/>
          <w:szCs w:val="24"/>
          <w:lang w:eastAsia="ru-RU"/>
        </w:rPr>
      </w:pPr>
      <w:r>
        <w:rPr>
          <w:rFonts w:eastAsia="Times New Roman" w:cs="Times New Roman" w:ascii="Times New Roman" w:hAnsi="Times New Roman"/>
          <w:b/>
          <w:sz w:val="24"/>
          <w:szCs w:val="24"/>
          <w:lang w:eastAsia="ru-RU"/>
        </w:rPr>
        <w:t xml:space="preserve">Social Research </w:t>
      </w:r>
    </w:p>
    <w:p>
      <w:pPr>
        <w:pStyle w:val="Normal"/>
        <w:tabs>
          <w:tab w:val="clear" w:pos="708"/>
          <w:tab w:val="left" w:pos="993"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Style17"/>
        <w:jc w:val="both"/>
        <w:rPr>
          <w:rFonts w:ascii="Times New Roman" w:hAnsi="Times New Roman"/>
          <w:sz w:val="24"/>
          <w:szCs w:val="24"/>
        </w:rPr>
      </w:pPr>
      <w:r>
        <w:rPr>
          <w:rFonts w:eastAsia="Calibri" w:cs="Times New Roman" w:ascii="Times New Roman" w:hAnsi="Times New Roman"/>
          <w:bCs/>
          <w:sz w:val="24"/>
          <w:szCs w:val="24"/>
        </w:rPr>
        <w:tab/>
        <w:t>«</w:t>
      </w:r>
      <w:r>
        <w:rPr>
          <w:rFonts w:ascii="Times New Roman" w:hAnsi="Times New Roman"/>
          <w:sz w:val="24"/>
          <w:szCs w:val="24"/>
        </w:rPr>
        <w:t>JV «SMCC» LLP participates annually in charitable initiatives — providing assistance to orphanages and large families, building social infrastructure, and supporting youth.</w:t>
      </w:r>
    </w:p>
    <w:p>
      <w:pPr>
        <w:pStyle w:val="Style17"/>
        <w:jc w:val="both"/>
        <w:rPr>
          <w:rFonts w:ascii="Times New Roman" w:hAnsi="Times New Roman"/>
          <w:sz w:val="24"/>
          <w:szCs w:val="24"/>
        </w:rPr>
      </w:pPr>
      <w:r>
        <w:rPr>
          <w:rFonts w:ascii="Times New Roman" w:hAnsi="Times New Roman"/>
          <w:sz w:val="24"/>
          <w:szCs w:val="24"/>
        </w:rPr>
        <w:tab/>
        <w:t>From 2021 to 2024, charitable aid was provided to orphans, single mothers, recipients of the “Altyn Alqa” and “Kumis Alqa” medals, and low-income families in the village of Kyzemshek.</w:t>
      </w:r>
    </w:p>
    <w:p>
      <w:pPr>
        <w:pStyle w:val="Style17"/>
        <w:jc w:val="both"/>
        <w:rPr>
          <w:rFonts w:ascii="Times New Roman" w:hAnsi="Times New Roman"/>
          <w:sz w:val="24"/>
          <w:szCs w:val="24"/>
        </w:rPr>
      </w:pPr>
      <w:r>
        <w:rPr>
          <w:rFonts w:ascii="Times New Roman" w:hAnsi="Times New Roman"/>
          <w:sz w:val="24"/>
          <w:szCs w:val="24"/>
        </w:rPr>
        <w:t>Additionally, support was given to T. Mombekov Secondary School in the village of Taikonyr for the installation of an irrigation system to prepare the schoolyard for landscaping and greening, among other activities — totaling more than 30 million tenge.</w:t>
      </w:r>
    </w:p>
    <w:p>
      <w:pPr>
        <w:pStyle w:val="Style17"/>
        <w:jc w:val="both"/>
        <w:rPr>
          <w:rFonts w:ascii="Times New Roman" w:hAnsi="Times New Roman"/>
          <w:sz w:val="24"/>
          <w:szCs w:val="24"/>
        </w:rPr>
      </w:pPr>
      <w:r>
        <w:rPr>
          <w:rFonts w:ascii="Times New Roman" w:hAnsi="Times New Roman"/>
          <w:sz w:val="24"/>
          <w:szCs w:val="24"/>
        </w:rPr>
        <w:tab/>
        <w:t>The company also funded university education for 112 students from socially vulnerable families in the Suzak district.</w:t>
      </w:r>
    </w:p>
    <w:p>
      <w:pPr>
        <w:pStyle w:val="Style17"/>
        <w:jc w:val="both"/>
        <w:rPr>
          <w:rFonts w:ascii="Times New Roman" w:hAnsi="Times New Roman"/>
          <w:sz w:val="24"/>
          <w:szCs w:val="24"/>
        </w:rPr>
      </w:pPr>
      <w:r>
        <w:rPr>
          <w:rFonts w:ascii="Times New Roman" w:hAnsi="Times New Roman"/>
          <w:sz w:val="24"/>
          <w:szCs w:val="24"/>
        </w:rPr>
        <w:tab/>
        <w:t>In 2024, social research was conducted, including two focus groups (one in Taikonyr village with 9 participants and one in Kyzemshek village with 11 participants) and 6 interviews. A total of 8 meetings were held, surveying 26 participants.</w:t>
      </w:r>
    </w:p>
    <w:p>
      <w:pPr>
        <w:pStyle w:val="Style17"/>
        <w:jc w:val="both"/>
        <w:rPr>
          <w:rFonts w:ascii="Times New Roman" w:hAnsi="Times New Roman"/>
          <w:sz w:val="24"/>
          <w:szCs w:val="24"/>
        </w:rPr>
      </w:pPr>
      <w:r>
        <w:rPr>
          <w:rFonts w:ascii="Times New Roman" w:hAnsi="Times New Roman"/>
          <w:sz w:val="24"/>
          <w:szCs w:val="24"/>
        </w:rPr>
        <w:tab/>
        <w:t>During the meetings, participants discussed quality of life, socio-economic conditions, agricultural development, livestock grazing conditions, problematic issues and possible solutions, and their attitude toward the operational activities of «JV «SMCC»</w:t>
      </w:r>
      <w:r>
        <w:rPr>
          <w:rFonts w:ascii="Times New Roman" w:hAnsi="Times New Roman"/>
          <w:sz w:val="24"/>
          <w:szCs w:val="24"/>
          <w:lang w:val="en-US"/>
        </w:rPr>
        <w:t xml:space="preserve"> LLP. </w:t>
      </w:r>
      <w:r>
        <w:rPr>
          <w:rFonts w:ascii="Times New Roman" w:hAnsi="Times New Roman"/>
          <w:sz w:val="24"/>
          <w:szCs w:val="24"/>
        </w:rPr>
        <w:t>Survey participants assessed the company's engagement with stakeholders and the local community. Topics also included plans and approaches for the final decommissioning of the mine after uranium extraction is completed.</w:t>
      </w:r>
    </w:p>
    <w:p>
      <w:pPr>
        <w:pStyle w:val="Style17"/>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rPr>
          <w:rFonts w:ascii="Times New Roman" w:hAnsi="Times New Roman" w:eastAsia="Calibri" w:cs="Times New Roman"/>
          <w:bCs/>
          <w:sz w:val="24"/>
          <w:szCs w:val="24"/>
        </w:rPr>
      </w:pPr>
      <w:r>
        <w:rPr/>
        <w:drawing>
          <wp:inline distT="0" distB="0" distL="0" distR="0">
            <wp:extent cx="6120130" cy="2704465"/>
            <wp:effectExtent l="0" t="0" r="0" b="0"/>
            <wp:docPr id="2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6" descr=""/>
                    <pic:cNvPicPr>
                      <a:picLocks noChangeAspect="1" noChangeArrowheads="1"/>
                    </pic:cNvPicPr>
                  </pic:nvPicPr>
                  <pic:blipFill>
                    <a:blip r:embed="rId28"/>
                    <a:stretch>
                      <a:fillRect/>
                    </a:stretch>
                  </pic:blipFill>
                  <pic:spPr bwMode="auto">
                    <a:xfrm>
                      <a:off x="0" y="0"/>
                      <a:ext cx="6120130" cy="2704465"/>
                    </a:xfrm>
                    <a:prstGeom prst="rect">
                      <a:avLst/>
                    </a:prstGeom>
                  </pic:spPr>
                </pic:pic>
              </a:graphicData>
            </a:graphic>
          </wp:inline>
        </w:drawing>
      </w:r>
    </w:p>
    <w:p>
      <w:pPr>
        <w:pStyle w:val="Normal"/>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5158740" cy="1762125"/>
            <wp:effectExtent l="0" t="0" r="0" b="0"/>
            <wp:wrapSquare wrapText="largest"/>
            <wp:docPr id="27"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 descr=""/>
                    <pic:cNvPicPr>
                      <a:picLocks noChangeAspect="1" noChangeArrowheads="1"/>
                    </pic:cNvPicPr>
                  </pic:nvPicPr>
                  <pic:blipFill>
                    <a:blip r:embed="rId29"/>
                    <a:stretch>
                      <a:fillRect/>
                    </a:stretch>
                  </pic:blipFill>
                  <pic:spPr bwMode="auto">
                    <a:xfrm>
                      <a:off x="0" y="0"/>
                      <a:ext cx="5158740" cy="1762125"/>
                    </a:xfrm>
                    <a:prstGeom prst="rect">
                      <a:avLst/>
                    </a:prstGeom>
                  </pic:spPr>
                </pic:pic>
              </a:graphicData>
            </a:graphic>
          </wp:anchor>
        </w:drawing>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ind w:hanging="0"/>
        <w:jc w:val="both"/>
        <w:rPr>
          <w:rFonts w:ascii="Times New Roman" w:hAnsi="Times New Roman" w:eastAsia="Calibri" w:cs="Times New Roman"/>
          <w:bCs/>
          <w:sz w:val="24"/>
          <w:szCs w:val="24"/>
        </w:rPr>
      </w:pPr>
      <w:r>
        <w:rPr>
          <w:rFonts w:eastAsia="Calibri" w:cs="Times New Roman" w:ascii="Times New Roman" w:hAnsi="Times New Roman"/>
          <w:bCs/>
          <w:sz w:val="24"/>
          <w:szCs w:val="24"/>
        </w:rPr>
        <w:tab/>
        <w:t>On the territory adjacent to the production facilities of the «Yuzhny Inkai» mine, the mining allotment sites of the «Severny Inkai» mine («JV «Inkai» LLP) are located to the north, agricultural land is located to the northeast, as well as near the eastern border of the mining allotment of the enterprise. To the south-east of the enterprise, near the northern banks of the Shu River, there are lands of the forest fund.</w:t>
      </w:r>
    </w:p>
    <w:p>
      <w:pPr>
        <w:pStyle w:val="Normal"/>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sz w:val="24"/>
          <w:szCs w:val="24"/>
          <w:lang w:eastAsia="ru-RU"/>
        </w:rPr>
      </w:pPr>
      <w:r>
        <w:rPr/>
        <w:drawing>
          <wp:inline distT="0" distB="0" distL="0" distR="0">
            <wp:extent cx="2903855" cy="2113915"/>
            <wp:effectExtent l="0" t="0" r="0" b="0"/>
            <wp:docPr id="28"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4" descr=""/>
                    <pic:cNvPicPr>
                      <a:picLocks noChangeAspect="1" noChangeArrowheads="1"/>
                    </pic:cNvPicPr>
                  </pic:nvPicPr>
                  <pic:blipFill>
                    <a:blip r:embed="rId30"/>
                    <a:stretch>
                      <a:fillRect/>
                    </a:stretch>
                  </pic:blipFill>
                  <pic:spPr bwMode="auto">
                    <a:xfrm>
                      <a:off x="0" y="0"/>
                      <a:ext cx="2903855" cy="2113915"/>
                    </a:xfrm>
                    <a:prstGeom prst="rect">
                      <a:avLst/>
                    </a:prstGeom>
                  </pic:spPr>
                </pic:pic>
              </a:graphicData>
            </a:graphic>
          </wp:inline>
        </w:drawing>
      </w:r>
      <w:r>
        <w:rPr>
          <w:rFonts w:eastAsia="Times New Roman" w:cs="Times New Roman" w:ascii="Times New Roman" w:hAnsi="Times New Roman"/>
          <w:sz w:val="24"/>
          <w:szCs w:val="24"/>
          <w:lang w:eastAsia="ru-RU"/>
        </w:rPr>
        <w:t xml:space="preserve">   </w:t>
      </w:r>
      <w:r>
        <w:rPr/>
        <w:drawing>
          <wp:inline distT="0" distB="0" distL="0" distR="0">
            <wp:extent cx="2984500" cy="2113915"/>
            <wp:effectExtent l="0" t="0" r="0" b="0"/>
            <wp:docPr id="2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 descr=""/>
                    <pic:cNvPicPr>
                      <a:picLocks noChangeAspect="1" noChangeArrowheads="1"/>
                    </pic:cNvPicPr>
                  </pic:nvPicPr>
                  <pic:blipFill>
                    <a:blip r:embed="rId31"/>
                    <a:stretch>
                      <a:fillRect/>
                    </a:stretch>
                  </pic:blipFill>
                  <pic:spPr bwMode="auto">
                    <a:xfrm>
                      <a:off x="0" y="0"/>
                      <a:ext cx="2984500" cy="2113915"/>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Focus group in Taikonyr village (left) and Kyzemshek village (right) </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jc w:val="center"/>
        <w:rPr>
          <w:rFonts w:ascii="Times New Roman" w:hAnsi="Times New Roman" w:eastAsia="Times New Roman" w:cs="Times New Roman"/>
          <w:sz w:val="24"/>
          <w:szCs w:val="24"/>
          <w:lang w:eastAsia="ru-RU"/>
        </w:rPr>
      </w:pPr>
      <w: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6120130" cy="2012315"/>
            <wp:effectExtent l="0" t="0" r="0" b="0"/>
            <wp:wrapSquare wrapText="largest"/>
            <wp:docPr id="30"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4" descr=""/>
                    <pic:cNvPicPr>
                      <a:picLocks noChangeAspect="1" noChangeArrowheads="1"/>
                    </pic:cNvPicPr>
                  </pic:nvPicPr>
                  <pic:blipFill>
                    <a:blip r:embed="rId32"/>
                    <a:stretch>
                      <a:fillRect/>
                    </a:stretch>
                  </pic:blipFill>
                  <pic:spPr bwMode="auto">
                    <a:xfrm>
                      <a:off x="0" y="0"/>
                      <a:ext cx="6120130" cy="2012315"/>
                    </a:xfrm>
                    <a:prstGeom prst="rect">
                      <a:avLst/>
                    </a:prstGeom>
                  </pic:spPr>
                </pic:pic>
              </a:graphicData>
            </a:graphic>
          </wp:anchor>
        </w:drawing>
      </w:r>
      <w:r>
        <w:rPr>
          <w:rFonts w:eastAsia="Times New Roman" w:cs="Times New Roman" w:ascii="Times New Roman" w:hAnsi="Times New Roman"/>
          <w:sz w:val="24"/>
          <w:szCs w:val="24"/>
          <w:lang w:eastAsia="ru-RU"/>
        </w:rPr>
        <w:t xml:space="preserve">   </w:t>
      </w:r>
    </w:p>
    <w:p>
      <w:pPr>
        <w:pStyle w:val="Normal"/>
        <w:spacing w:lineRule="auto" w:line="240" w:before="0" w:after="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Meeting and interview with O.M. </w:t>
      </w:r>
      <w:r>
        <w:rPr>
          <w:rFonts w:eastAsia="Calibri" w:cs="Times New Roman" w:ascii="Times New Roman" w:hAnsi="Times New Roman"/>
          <w:sz w:val="24"/>
          <w:szCs w:val="24"/>
          <w:lang w:val="en-US" w:eastAsia="ru-RU"/>
        </w:rPr>
        <w:t>Zhamiyev</w:t>
      </w:r>
      <w:r>
        <w:rPr>
          <w:rFonts w:eastAsia="Calibri" w:cs="Times New Roman" w:ascii="Times New Roman" w:hAnsi="Times New Roman"/>
          <w:sz w:val="24"/>
          <w:szCs w:val="24"/>
          <w:lang w:eastAsia="ru-RU"/>
        </w:rPr>
        <w:t xml:space="preserve">, Chairman of the Maslikhat of the Sozak </w:t>
      </w:r>
      <w:r>
        <w:rPr>
          <w:rFonts w:eastAsia="Calibri" w:cs="Times New Roman" w:ascii="Times New Roman" w:hAnsi="Times New Roman"/>
          <w:sz w:val="24"/>
          <w:szCs w:val="24"/>
          <w:lang w:val="en-US" w:eastAsia="ru-RU"/>
        </w:rPr>
        <w:t>region</w:t>
      </w:r>
      <w:r>
        <w:rPr>
          <w:rFonts w:eastAsia="Calibri" w:cs="Times New Roman" w:ascii="Times New Roman" w:hAnsi="Times New Roman"/>
          <w:sz w:val="24"/>
          <w:szCs w:val="24"/>
          <w:lang w:eastAsia="ru-RU"/>
        </w:rPr>
        <w:t>, and A.B. Satybaldy, Deputy Akim of the Sozak district, Sholakkorgan village</w:t>
      </w:r>
    </w:p>
    <w:p>
      <w:pPr>
        <w:pStyle w:val="Normal"/>
        <w:spacing w:lineRule="auto" w:line="240" w:before="0" w:after="0"/>
        <w:rPr>
          <w:rFonts w:ascii="Times New Roman" w:hAnsi="Times New Roman" w:eastAsia="Calibri" w:cs="Times New Roman"/>
          <w:bCs/>
          <w:color w:val="FF0000"/>
          <w:sz w:val="24"/>
          <w:szCs w:val="24"/>
        </w:rPr>
      </w:pPr>
      <w:r>
        <w:rPr>
          <w:rFonts w:eastAsia="Calibri" w:cs="Times New Roman" w:ascii="Times New Roman" w:hAnsi="Times New Roman"/>
          <w:bCs/>
          <w:color w:val="FF0000"/>
          <w:sz w:val="24"/>
          <w:szCs w:val="24"/>
        </w:rPr>
      </w:r>
    </w:p>
    <w:p>
      <w:pPr>
        <w:pStyle w:val="Normal"/>
        <w:spacing w:lineRule="auto" w:line="240" w:before="0" w:after="0"/>
        <w:jc w:val="center"/>
        <w:rPr>
          <w:rFonts w:ascii="Times New Roman" w:hAnsi="Times New Roman" w:eastAsia="Times New Roman" w:cs="Times New Roman"/>
          <w:sz w:val="24"/>
          <w:szCs w:val="24"/>
          <w:lang w:eastAsia="ru-RU"/>
        </w:rPr>
      </w:pPr>
      <w:r>
        <w:rPr/>
        <w:drawing>
          <wp:inline distT="0" distB="0" distL="0" distR="0">
            <wp:extent cx="2808605" cy="2106930"/>
            <wp:effectExtent l="0" t="0" r="0" b="0"/>
            <wp:docPr id="31"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3" descr=""/>
                    <pic:cNvPicPr>
                      <a:picLocks noChangeAspect="1" noChangeArrowheads="1"/>
                    </pic:cNvPicPr>
                  </pic:nvPicPr>
                  <pic:blipFill>
                    <a:blip r:embed="rId33"/>
                    <a:stretch>
                      <a:fillRect/>
                    </a:stretch>
                  </pic:blipFill>
                  <pic:spPr bwMode="auto">
                    <a:xfrm>
                      <a:off x="0" y="0"/>
                      <a:ext cx="2808605" cy="2106930"/>
                    </a:xfrm>
                    <a:prstGeom prst="rect">
                      <a:avLst/>
                    </a:prstGeom>
                  </pic:spPr>
                </pic:pic>
              </a:graphicData>
            </a:graphic>
          </wp:inline>
        </w:drawing>
      </w:r>
      <w:r>
        <w:rPr>
          <w:rFonts w:eastAsia="Times New Roman" w:cs="Times New Roman" w:ascii="Times New Roman" w:hAnsi="Times New Roman"/>
          <w:sz w:val="24"/>
          <w:szCs w:val="24"/>
          <w:lang w:eastAsia="ru-RU"/>
        </w:rPr>
        <w:t xml:space="preserve">   </w:t>
      </w:r>
      <w:r>
        <w:rPr/>
        <w:drawing>
          <wp:inline distT="0" distB="0" distL="0" distR="0">
            <wp:extent cx="3042285" cy="2136140"/>
            <wp:effectExtent l="0" t="0" r="0" b="0"/>
            <wp:docPr id="32"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4" descr=""/>
                    <pic:cNvPicPr>
                      <a:picLocks noChangeAspect="1" noChangeArrowheads="1"/>
                    </pic:cNvPicPr>
                  </pic:nvPicPr>
                  <pic:blipFill>
                    <a:blip r:embed="rId34"/>
                    <a:stretch>
                      <a:fillRect/>
                    </a:stretch>
                  </pic:blipFill>
                  <pic:spPr bwMode="auto">
                    <a:xfrm>
                      <a:off x="0" y="0"/>
                      <a:ext cx="3042285" cy="2136140"/>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Meeting and interview with land user </w:t>
      </w:r>
      <w:r>
        <w:rPr>
          <w:rFonts w:eastAsia="Calibri" w:cs="Times New Roman" w:ascii="Times New Roman" w:hAnsi="Times New Roman"/>
          <w:sz w:val="24"/>
          <w:szCs w:val="24"/>
          <w:lang w:val="en-US" w:eastAsia="ru-RU"/>
        </w:rPr>
        <w:t>Pernebay Otzhanuly</w:t>
      </w:r>
      <w:r>
        <w:rPr>
          <w:rFonts w:eastAsia="Calibri" w:cs="Times New Roman" w:ascii="Times New Roman" w:hAnsi="Times New Roman"/>
          <w:sz w:val="24"/>
          <w:szCs w:val="24"/>
          <w:lang w:eastAsia="ru-RU"/>
        </w:rPr>
        <w:t xml:space="preserve"> and land user Bokanov Yerdos,  Kyzemshek </w:t>
      </w:r>
      <w:r>
        <w:rPr>
          <w:rFonts w:eastAsia="Calibri" w:cs="Times New Roman" w:ascii="Times New Roman" w:hAnsi="Times New Roman"/>
          <w:sz w:val="24"/>
          <w:szCs w:val="24"/>
          <w:lang w:val="en-US" w:eastAsia="ru-RU"/>
        </w:rPr>
        <w:t>village</w:t>
      </w:r>
    </w:p>
    <w:p>
      <w:pPr>
        <w:pStyle w:val="Normal"/>
        <w:tabs>
          <w:tab w:val="clear" w:pos="708"/>
          <w:tab w:val="left" w:pos="993" w:leader="none"/>
        </w:tabs>
        <w:spacing w:lineRule="auto" w:line="240" w:before="0" w:after="0"/>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General assessment of the living conditions of the local population </w:t>
      </w:r>
    </w:p>
    <w:tbl>
      <w:tblPr>
        <w:tblStyle w:val="1"/>
        <w:tblW w:w="5000" w:type="pct"/>
        <w:jc w:val="center"/>
        <w:tblInd w:w="0" w:type="dxa"/>
        <w:tblLayout w:type="fixed"/>
        <w:tblCellMar>
          <w:top w:w="0" w:type="dxa"/>
          <w:left w:w="28" w:type="dxa"/>
          <w:bottom w:w="0" w:type="dxa"/>
          <w:right w:w="28" w:type="dxa"/>
        </w:tblCellMar>
        <w:tblLook w:firstRow="1" w:noVBand="1" w:lastRow="0" w:firstColumn="1" w:lastColumn="0" w:noHBand="0" w:val="04a0"/>
      </w:tblPr>
      <w:tblGrid>
        <w:gridCol w:w="432"/>
        <w:gridCol w:w="1320"/>
        <w:gridCol w:w="728"/>
        <w:gridCol w:w="583"/>
        <w:gridCol w:w="736"/>
        <w:gridCol w:w="583"/>
        <w:gridCol w:w="730"/>
        <w:gridCol w:w="732"/>
        <w:gridCol w:w="730"/>
        <w:gridCol w:w="731"/>
        <w:gridCol w:w="733"/>
        <w:gridCol w:w="728"/>
        <w:gridCol w:w="871"/>
      </w:tblGrid>
      <w:tr>
        <w:trPr>
          <w:trHeight w:val="2007" w:hRule="atLeast"/>
          <w:cantSplit w:val="true"/>
        </w:trPr>
        <w:tc>
          <w:tcPr>
            <w:tcW w:w="432" w:type="dxa"/>
            <w:tcBorders/>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w:t>
            </w:r>
          </w:p>
        </w:tc>
        <w:tc>
          <w:tcPr>
            <w:tcW w:w="1320" w:type="dxa"/>
            <w:tcBorders/>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Rural locality</w:t>
            </w:r>
          </w:p>
        </w:tc>
        <w:tc>
          <w:tcPr>
            <w:tcW w:w="728"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Employment rate</w:t>
            </w:r>
          </w:p>
        </w:tc>
        <w:tc>
          <w:tcPr>
            <w:tcW w:w="583"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Unemployment rate</w:t>
            </w:r>
          </w:p>
        </w:tc>
        <w:tc>
          <w:tcPr>
            <w:tcW w:w="736"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Income level of the population</w:t>
            </w:r>
          </w:p>
        </w:tc>
        <w:tc>
          <w:tcPr>
            <w:tcW w:w="583"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Agricultural Development</w:t>
            </w:r>
          </w:p>
        </w:tc>
        <w:tc>
          <w:tcPr>
            <w:tcW w:w="730"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Healthcare</w:t>
            </w:r>
          </w:p>
        </w:tc>
        <w:tc>
          <w:tcPr>
            <w:tcW w:w="732"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Education</w:t>
            </w:r>
          </w:p>
        </w:tc>
        <w:tc>
          <w:tcPr>
            <w:tcW w:w="730"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Water supply</w:t>
            </w:r>
          </w:p>
        </w:tc>
        <w:tc>
          <w:tcPr>
            <w:tcW w:w="731"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Power supply</w:t>
            </w:r>
          </w:p>
        </w:tc>
        <w:tc>
          <w:tcPr>
            <w:tcW w:w="733"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Roads and Traffic Safety</w:t>
            </w:r>
          </w:p>
        </w:tc>
        <w:tc>
          <w:tcPr>
            <w:tcW w:w="728"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Development of Private Business</w:t>
            </w:r>
          </w:p>
        </w:tc>
        <w:tc>
          <w:tcPr>
            <w:tcW w:w="871" w:type="dxa"/>
            <w:tcBorders/>
            <w:textDirection w:val="btLr"/>
            <w:vAlign w:val="center"/>
          </w:tcPr>
          <w:p>
            <w:pPr>
              <w:pStyle w:val="Normal"/>
              <w:widowControl w:val="false"/>
              <w:tabs>
                <w:tab w:val="clear" w:pos="708"/>
                <w:tab w:val="left" w:pos="851" w:leader="none"/>
              </w:tabs>
              <w:suppressAutoHyphens w:val="true"/>
              <w:spacing w:lineRule="auto" w:line="240" w:before="0" w:after="0"/>
              <w:ind w:left="113" w:right="113"/>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Socially Vulnerable Groups</w:t>
            </w:r>
          </w:p>
        </w:tc>
      </w:tr>
      <w:tr>
        <w:trPr>
          <w:trHeight w:val="421" w:hRule="atLeast"/>
        </w:trPr>
        <w:tc>
          <w:tcPr>
            <w:tcW w:w="432" w:type="dxa"/>
            <w:tcBorders/>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1</w:t>
            </w:r>
          </w:p>
        </w:tc>
        <w:tc>
          <w:tcPr>
            <w:tcW w:w="1320" w:type="dxa"/>
            <w:tcBorders/>
            <w:vAlign w:val="center"/>
          </w:tcPr>
          <w:p>
            <w:pPr>
              <w:pStyle w:val="Normal"/>
              <w:suppressAutoHyphens w:val="true"/>
              <w:spacing w:lineRule="auto" w:line="240" w:before="0" w:after="0"/>
              <w:jc w:val="center"/>
              <w:rPr>
                <w:sz w:val="20"/>
                <w:szCs w:val="20"/>
              </w:rPr>
            </w:pPr>
            <w:r>
              <w:rPr>
                <w:rFonts w:cs="Times New Roman" w:ascii="Times New Roman" w:hAnsi="Times New Roman"/>
                <w:bCs/>
                <w:color w:val="222222"/>
                <w:sz w:val="20"/>
                <w:szCs w:val="20"/>
                <w:shd w:fill="FFFFFF" w:val="clear"/>
                <w:lang w:eastAsia="ru-RU"/>
              </w:rPr>
              <w:t xml:space="preserve">Kyzemshek </w:t>
            </w:r>
            <w:r>
              <w:rPr>
                <w:rFonts w:cs="Times New Roman" w:ascii="Times New Roman" w:hAnsi="Times New Roman"/>
                <w:bCs/>
                <w:color w:val="222222"/>
                <w:sz w:val="20"/>
                <w:szCs w:val="20"/>
                <w:shd w:fill="FFFFFF" w:val="clear"/>
                <w:lang w:val="en-US" w:eastAsia="ru-RU"/>
              </w:rPr>
              <w:t>village</w:t>
            </w:r>
          </w:p>
        </w:tc>
        <w:tc>
          <w:tcPr>
            <w:tcW w:w="728"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583" w:type="dxa"/>
            <w:tcBorders/>
            <w:shd w:color="auto" w:fill="FF3300"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6" w:type="dxa"/>
            <w:tcBorders/>
            <w:shd w:color="auto" w:fill="FF3300"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583"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0"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2" w:type="dxa"/>
            <w:tcBorders/>
            <w:shd w:color="auto" w:fill="ABFFAB"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0"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1" w:type="dxa"/>
            <w:tcBorders/>
            <w:shd w:color="auto" w:fill="00FF00"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3"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28" w:type="dxa"/>
            <w:tcBorders/>
            <w:shd w:color="auto" w:fill="ABFFAB"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871"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r>
      <w:tr>
        <w:trPr>
          <w:trHeight w:val="358" w:hRule="atLeast"/>
        </w:trPr>
        <w:tc>
          <w:tcPr>
            <w:tcW w:w="432" w:type="dxa"/>
            <w:tcBorders/>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2</w:t>
            </w:r>
          </w:p>
        </w:tc>
        <w:tc>
          <w:tcPr>
            <w:tcW w:w="1320" w:type="dxa"/>
            <w:tcBorders/>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kern w:val="0"/>
                <w:sz w:val="20"/>
                <w:szCs w:val="20"/>
                <w:shd w:fill="FFFFFF" w:val="clear"/>
                <w:lang w:val="ru-RU" w:eastAsia="en-US" w:bidi="ar-SA"/>
              </w:rPr>
              <w:t>Taikonyr village</w:t>
            </w:r>
          </w:p>
        </w:tc>
        <w:tc>
          <w:tcPr>
            <w:tcW w:w="728"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583"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6"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583"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0"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2"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0" w:type="dxa"/>
            <w:tcBorders/>
            <w:shd w:color="auto" w:fill="FF3300"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1" w:type="dxa"/>
            <w:tcBorders/>
            <w:shd w:color="auto" w:fill="ABFFAB"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33" w:type="dxa"/>
            <w:tcBorders/>
            <w:shd w:color="auto" w:fill="FF9966"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728"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c>
          <w:tcPr>
            <w:tcW w:w="871" w:type="dxa"/>
            <w:tcBorders/>
            <w:shd w:color="auto" w:fill="E5DFEC" w:val="clear"/>
            <w:vAlign w:val="center"/>
          </w:tcPr>
          <w:p>
            <w:pPr>
              <w:pStyle w:val="Normal"/>
              <w:widowControl w:val="false"/>
              <w:tabs>
                <w:tab w:val="clear" w:pos="708"/>
                <w:tab w:val="left" w:pos="851" w:leader="none"/>
              </w:tabs>
              <w:suppressAutoHyphens w:val="true"/>
              <w:spacing w:lineRule="auto" w:line="240" w:before="0" w:after="0"/>
              <w:contextualSpacing/>
              <w:jc w:val="center"/>
              <w:rPr>
                <w:rFonts w:ascii="Times New Roman" w:hAnsi="Times New Roman" w:eastAsia="Calibri" w:cs="Times New Roman"/>
                <w:bCs/>
                <w:color w:val="222222"/>
                <w:sz w:val="20"/>
                <w:szCs w:val="20"/>
                <w:shd w:fill="FFFFFF" w:val="clear"/>
              </w:rPr>
            </w:pPr>
            <w:r>
              <w:rPr>
                <w:rFonts w:eastAsia="Calibri" w:cs="Times New Roman" w:ascii="Times New Roman" w:hAnsi="Times New Roman"/>
                <w:bCs/>
                <w:color w:val="222222"/>
                <w:sz w:val="20"/>
                <w:szCs w:val="20"/>
                <w:shd w:fill="FFFFFF" w:val="clear"/>
              </w:rPr>
            </w:r>
          </w:p>
        </w:tc>
      </w:tr>
    </w:tbl>
    <w:p>
      <w:pPr>
        <w:pStyle w:val="Normal"/>
        <w:spacing w:before="0" w:after="0"/>
        <w:ind w:left="284"/>
        <w:jc w:val="both"/>
        <w:rPr>
          <w:rFonts w:ascii="Times New Roman" w:hAnsi="Times New Roman" w:eastAsia="Times New Roman" w:cs="Times New Roman"/>
          <w:bCs/>
          <w:color w:val="000000"/>
          <w:sz w:val="20"/>
          <w:szCs w:val="20"/>
        </w:rPr>
      </w:pPr>
      <w:r>
        <w:rPr>
          <w:rFonts w:eastAsia="Times New Roman" w:cs="Times New Roman" w:ascii="Times New Roman" w:hAnsi="Times New Roman"/>
          <w:bCs/>
          <w:color w:val="000000"/>
          <w:sz w:val="20"/>
          <w:szCs w:val="20"/>
        </w:rPr>
      </w:r>
    </w:p>
    <w:p>
      <w:pPr>
        <w:pStyle w:val="Normal"/>
        <w:spacing w:before="0" w:after="0"/>
        <w:ind w:left="284"/>
        <w:jc w:val="both"/>
        <w:rPr>
          <w:rFonts w:ascii="Times New Roman" w:hAnsi="Times New Roman" w:eastAsia="Times New Roman" w:cs="Times New Roman"/>
          <w:bCs/>
          <w:color w:val="000000"/>
          <w:sz w:val="20"/>
          <w:szCs w:val="20"/>
        </w:rPr>
      </w:pPr>
      <w:r>
        <w:rPr>
          <w:rFonts w:eastAsia="Times New Roman" w:cs="Times New Roman" w:ascii="Times New Roman" w:hAnsi="Times New Roman"/>
          <w:bCs/>
          <w:color w:val="000000"/>
          <w:sz w:val="20"/>
          <w:szCs w:val="20"/>
          <w:lang w:val="en-US"/>
        </w:rPr>
        <w:t>Symbols</w:t>
      </w:r>
      <w:r>
        <w:rPr>
          <w:rFonts w:eastAsia="Times New Roman" w:cs="Times New Roman" w:ascii="Times New Roman" w:hAnsi="Times New Roman"/>
          <w:bCs/>
          <w:color w:val="000000"/>
          <w:sz w:val="20"/>
          <w:szCs w:val="20"/>
        </w:rPr>
        <w:t>:</w:t>
      </w:r>
    </w:p>
    <w:tbl>
      <w:tblPr>
        <w:tblStyle w:val="1"/>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2155"/>
        <w:gridCol w:w="2129"/>
        <w:gridCol w:w="5354"/>
      </w:tblGrid>
      <w:tr>
        <w:trPr>
          <w:trHeight w:val="529" w:hRule="atLeast"/>
        </w:trPr>
        <w:tc>
          <w:tcPr>
            <w:tcW w:w="2155"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bCs/>
                <w:color w:val="000000"/>
                <w:sz w:val="20"/>
                <w:szCs w:val="20"/>
              </w:rPr>
            </w:pPr>
            <w:r>
              <w:rPr>
                <w:rFonts w:eastAsia="Times New Roman" w:cs="Times New Roman" w:ascii="Times New Roman" w:hAnsi="Times New Roman"/>
                <w:bCs/>
                <w:color w:val="000000"/>
                <w:kern w:val="0"/>
                <w:sz w:val="20"/>
                <w:szCs w:val="20"/>
                <w:lang w:val="ru-RU" w:eastAsia="en-US" w:bidi="ar-SA"/>
              </w:rPr>
              <w:t>The color designation of the score</w:t>
            </w:r>
          </w:p>
        </w:tc>
        <w:tc>
          <w:tcPr>
            <w:tcW w:w="2129"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bCs/>
                <w:color w:val="000000"/>
                <w:sz w:val="20"/>
                <w:szCs w:val="20"/>
              </w:rPr>
            </w:pPr>
            <w:r>
              <w:rPr>
                <w:rFonts w:eastAsia="Times New Roman" w:cs="Times New Roman" w:ascii="Times New Roman" w:hAnsi="Times New Roman"/>
                <w:bCs/>
                <w:color w:val="000000"/>
                <w:kern w:val="0"/>
                <w:sz w:val="20"/>
                <w:szCs w:val="20"/>
                <w:lang w:val="ru-RU" w:eastAsia="en-US" w:bidi="ar-SA"/>
              </w:rPr>
              <w:t>Evaluation value</w:t>
            </w:r>
          </w:p>
        </w:tc>
        <w:tc>
          <w:tcPr>
            <w:tcW w:w="5354"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bCs/>
                <w:color w:val="000000"/>
                <w:sz w:val="20"/>
                <w:szCs w:val="20"/>
              </w:rPr>
            </w:pPr>
            <w:r>
              <w:rPr>
                <w:rFonts w:eastAsia="Times New Roman" w:cs="Times New Roman" w:ascii="Times New Roman" w:hAnsi="Times New Roman"/>
                <w:bCs/>
                <w:color w:val="000000"/>
                <w:kern w:val="0"/>
                <w:sz w:val="20"/>
                <w:szCs w:val="20"/>
                <w:lang w:val="ru-RU" w:eastAsia="en-US" w:bidi="ar-SA"/>
              </w:rPr>
              <w:t>Decoding</w:t>
            </w:r>
          </w:p>
        </w:tc>
      </w:tr>
      <w:tr>
        <w:trPr>
          <w:trHeight w:val="281" w:hRule="atLeast"/>
        </w:trPr>
        <w:tc>
          <w:tcPr>
            <w:tcW w:w="2155" w:type="dxa"/>
            <w:tcBorders/>
            <w:shd w:color="auto" w:fill="00FF00" w:val="clear"/>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2129" w:type="dxa"/>
            <w:tcBorders/>
            <w:vAlign w:val="center"/>
          </w:tcPr>
          <w:p>
            <w:pPr>
              <w:pStyle w:val="Normal"/>
              <w:widowControl/>
              <w:suppressAutoHyphens w:val="true"/>
              <w:spacing w:lineRule="auto" w:line="240" w:before="0" w:after="0"/>
              <w:jc w:val="center"/>
              <w:rPr>
                <w:rFonts w:ascii="Calibri" w:hAnsi="Calibri" w:eastAsia="Calibri" w:cs=""/>
                <w:kern w:val="0"/>
                <w:sz w:val="22"/>
                <w:szCs w:val="22"/>
                <w:lang w:val="en-US" w:eastAsia="en-US" w:bidi="ar-SA"/>
              </w:rPr>
            </w:pPr>
            <w:r>
              <w:rPr>
                <w:rFonts w:eastAsia="Calibri" w:cs=""/>
                <w:kern w:val="0"/>
                <w:sz w:val="22"/>
                <w:szCs w:val="22"/>
                <w:lang w:val="en-US" w:eastAsia="en-US" w:bidi="ar-SA"/>
              </w:rPr>
              <w:t>Very good</w:t>
            </w:r>
          </w:p>
        </w:tc>
        <w:tc>
          <w:tcPr>
            <w:tcW w:w="5354"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This area is well developed and quite satisfied with the residents.</w:t>
            </w:r>
          </w:p>
        </w:tc>
      </w:tr>
      <w:tr>
        <w:trPr>
          <w:trHeight w:val="272" w:hRule="atLeast"/>
        </w:trPr>
        <w:tc>
          <w:tcPr>
            <w:tcW w:w="2155" w:type="dxa"/>
            <w:tcBorders/>
            <w:shd w:color="auto" w:fill="ABFFAB" w:val="clear"/>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2129" w:type="dxa"/>
            <w:tcBorders/>
            <w:vAlign w:val="center"/>
          </w:tcPr>
          <w:p>
            <w:pPr>
              <w:pStyle w:val="Normal"/>
              <w:widowControl/>
              <w:suppressAutoHyphens w:val="true"/>
              <w:spacing w:lineRule="auto" w:line="240" w:before="0" w:after="0"/>
              <w:jc w:val="center"/>
              <w:rPr>
                <w:rFonts w:ascii="Calibri" w:hAnsi="Calibri" w:eastAsia="Calibri" w:cs=""/>
                <w:kern w:val="0"/>
                <w:sz w:val="22"/>
                <w:szCs w:val="22"/>
                <w:lang w:val="en-US" w:eastAsia="en-US" w:bidi="ar-SA"/>
              </w:rPr>
            </w:pPr>
            <w:r>
              <w:rPr>
                <w:rFonts w:eastAsia="Calibri" w:cs=""/>
                <w:kern w:val="0"/>
                <w:sz w:val="22"/>
                <w:szCs w:val="22"/>
                <w:lang w:val="en-US" w:eastAsia="en-US" w:bidi="ar-SA"/>
              </w:rPr>
              <w:t>Good</w:t>
            </w:r>
          </w:p>
        </w:tc>
        <w:tc>
          <w:tcPr>
            <w:tcW w:w="5354"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The sphere is sufficiently developed and suits the residents.</w:t>
            </w:r>
          </w:p>
        </w:tc>
      </w:tr>
      <w:tr>
        <w:trPr>
          <w:trHeight w:val="370" w:hRule="atLeast"/>
        </w:trPr>
        <w:tc>
          <w:tcPr>
            <w:tcW w:w="2155" w:type="dxa"/>
            <w:tcBorders/>
            <w:shd w:color="auto" w:fill="E5DFEC" w:val="clear"/>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2129"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The average level</w:t>
            </w:r>
          </w:p>
        </w:tc>
        <w:tc>
          <w:tcPr>
            <w:tcW w:w="5354"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The state of this sphere is at a satisfactory level, there are some disadvantages</w:t>
            </w:r>
          </w:p>
        </w:tc>
      </w:tr>
      <w:tr>
        <w:trPr>
          <w:trHeight w:val="475" w:hRule="atLeast"/>
        </w:trPr>
        <w:tc>
          <w:tcPr>
            <w:tcW w:w="2155" w:type="dxa"/>
            <w:tcBorders/>
            <w:shd w:color="auto" w:fill="FF9966" w:val="clear"/>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2129"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Unsatisfactory</w:t>
            </w:r>
          </w:p>
        </w:tc>
        <w:tc>
          <w:tcPr>
            <w:tcW w:w="5354"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The unsatisfactory state of this area, a large number of shortcomings</w:t>
            </w:r>
          </w:p>
        </w:tc>
      </w:tr>
      <w:tr>
        <w:trPr>
          <w:trHeight w:val="90" w:hRule="atLeast"/>
        </w:trPr>
        <w:tc>
          <w:tcPr>
            <w:tcW w:w="2155" w:type="dxa"/>
            <w:tcBorders/>
            <w:shd w:color="auto" w:fill="FF3300" w:val="clear"/>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2129"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Very bad</w:t>
            </w:r>
          </w:p>
        </w:tc>
        <w:tc>
          <w:tcPr>
            <w:tcW w:w="5354" w:type="dxa"/>
            <w:tcBorders/>
            <w:vAlign w:val="center"/>
          </w:tcPr>
          <w:p>
            <w:pPr>
              <w:pStyle w:val="Normal"/>
              <w:widowControl/>
              <w:suppressAutoHyphens w:val="tru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val="ru-RU" w:eastAsia="en-US" w:bidi="ar-SA"/>
              </w:rPr>
              <w:t>The condition of this area is very bad, residents express obvious dissatisfaction.</w:t>
            </w:r>
          </w:p>
        </w:tc>
      </w:tr>
    </w:tbl>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t>The most problematic issues are unemployment, health care, and socially vulnerable groups. The issue of water supply and water quality also attracts a lot of attention from residents. The importance of this area is also determined by its impact on the health of residents and the potential for agricultural development, which, in turn, serves as one of the formative factors for employment and income levels.</w:t>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r>
    </w:p>
    <w:p>
      <w:pPr>
        <w:pStyle w:val="Normal"/>
        <w:widowControl w:val="false"/>
        <w:tabs>
          <w:tab w:val="clear" w:pos="708"/>
          <w:tab w:val="left" w:pos="993" w:leader="none"/>
        </w:tabs>
        <w:suppressAutoHyphens w:val="true"/>
        <w:spacing w:lineRule="auto" w:line="240" w:before="0" w:after="0"/>
        <w:ind w:firstLine="567"/>
        <w:jc w:val="both"/>
        <w:rPr>
          <w:rFonts w:ascii="Times New Roman" w:hAnsi="Times New Roman" w:eastAsia="Times New Roman" w:cs="Times New Roman"/>
          <w:sz w:val="24"/>
          <w:szCs w:val="24"/>
          <w:lang w:val="kk-KZ" w:eastAsia="ru-RU"/>
        </w:rPr>
      </w:pPr>
      <w:r>
        <w:rPr>
          <w:rFonts w:eastAsia="Times New Roman" w:cs="Times New Roman" w:ascii="Times New Roman" w:hAnsi="Times New Roman"/>
          <w:sz w:val="24"/>
          <w:szCs w:val="24"/>
          <w:lang w:val="kk-KZ" w:eastAsia="ru-RU"/>
        </w:rPr>
        <w:t>«JV «</w:t>
      </w:r>
      <w:r>
        <w:rPr>
          <w:rFonts w:eastAsia="Times New Roman" w:cs="Times New Roman" w:ascii="Times New Roman" w:hAnsi="Times New Roman"/>
          <w:sz w:val="24"/>
          <w:szCs w:val="24"/>
          <w:lang w:val="en-US" w:eastAsia="ru-RU"/>
        </w:rPr>
        <w:t>SMCC</w:t>
      </w:r>
      <w:r>
        <w:rPr>
          <w:rFonts w:eastAsia="Times New Roman" w:cs="Times New Roman" w:ascii="Times New Roman" w:hAnsi="Times New Roman"/>
          <w:sz w:val="24"/>
          <w:szCs w:val="24"/>
          <w:lang w:val="kk-KZ" w:eastAsia="ru-RU"/>
        </w:rPr>
        <w:t>» LLP has developed a Plan for interaction with stakeholders, including the local population. The plan provides for providing environmental information to the public, visiting farms, holding consultations, public hearings and other events.</w:t>
      </w:r>
    </w:p>
    <w:p>
      <w:pPr>
        <w:pStyle w:val="Normal"/>
        <w:spacing w:lineRule="auto" w:line="276" w:before="0" w:after="200"/>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76" w:before="0" w:after="200"/>
        <w:contextualSpacing/>
        <w:jc w:val="both"/>
        <w:rPr/>
      </w:pPr>
      <w:r>
        <w:rPr>
          <w:rFonts w:eastAsia="Calibri" w:cs="Times New Roman" w:ascii="Times New Roman" w:hAnsi="Times New Roman"/>
          <w:bCs/>
          <w:sz w:val="24"/>
          <w:szCs w:val="24"/>
        </w:rPr>
        <w:tab/>
        <w:t>On the Internet resource there is a page of "JV "</w:t>
      </w:r>
      <w:r>
        <w:rPr>
          <w:rFonts w:eastAsia="Calibri" w:cs="Times New Roman" w:ascii="Times New Roman" w:hAnsi="Times New Roman"/>
          <w:bCs/>
          <w:sz w:val="24"/>
          <w:szCs w:val="24"/>
          <w:lang w:val="en-US"/>
        </w:rPr>
        <w:t>SMCC</w:t>
      </w:r>
      <w:r>
        <w:rPr>
          <w:rFonts w:eastAsia="Calibri" w:cs="Times New Roman" w:ascii="Times New Roman" w:hAnsi="Times New Roman"/>
          <w:bCs/>
          <w:sz w:val="24"/>
          <w:szCs w:val="24"/>
        </w:rPr>
        <w:t xml:space="preserve">" LLP </w:t>
      </w:r>
      <w:hyperlink r:id="rId35">
        <w:r>
          <w:rPr>
            <w:rStyle w:val="Hyperlink"/>
            <w:rFonts w:eastAsia="Calibri" w:cs="Times New Roman" w:ascii="Times New Roman" w:hAnsi="Times New Roman"/>
            <w:bCs/>
            <w:sz w:val="24"/>
            <w:szCs w:val="24"/>
          </w:rPr>
          <w:t>https://ughk.kazatomprom.kz/ru</w:t>
        </w:r>
      </w:hyperlink>
      <w:r>
        <w:rPr>
          <w:rFonts w:eastAsia="Calibri" w:cs="Times New Roman" w:ascii="Times New Roman" w:hAnsi="Times New Roman"/>
          <w:bCs/>
          <w:sz w:val="24"/>
          <w:szCs w:val="24"/>
        </w:rPr>
        <w:t>. This page was created to submit a letter of appeal, and there are also hotline telephones. «NAC «Kazatomprom»</w:t>
      </w:r>
      <w:r>
        <w:rPr>
          <w:rFonts w:eastAsia="Calibri" w:cs="Times New Roman" w:ascii="Times New Roman" w:hAnsi="Times New Roman"/>
          <w:bCs/>
          <w:sz w:val="24"/>
          <w:szCs w:val="24"/>
          <w:lang w:val="en-US"/>
        </w:rPr>
        <w:t xml:space="preserve"> JSC </w:t>
      </w:r>
      <w:r>
        <w:rPr>
          <w:rFonts w:eastAsia="Calibri" w:cs="Times New Roman" w:ascii="Times New Roman" w:hAnsi="Times New Roman"/>
          <w:bCs/>
          <w:sz w:val="24"/>
          <w:szCs w:val="24"/>
        </w:rPr>
        <w:t>strictly controls all appeals and decisions made on them.</w:t>
      </w:r>
    </w:p>
    <w:p>
      <w:pPr>
        <w:pStyle w:val="Normal"/>
        <w:spacing w:lineRule="auto" w:line="276" w:before="0" w:after="200"/>
        <w:contextualSpacing/>
        <w:jc w:val="both"/>
        <w:rPr/>
      </w:pPr>
      <w:r>
        <w:rPr>
          <w:rFonts w:eastAsia="Calibri" w:cs="Times New Roman" w:ascii="Times New Roman" w:hAnsi="Times New Roman"/>
          <w:bCs/>
          <w:sz w:val="24"/>
          <w:szCs w:val="24"/>
        </w:rPr>
        <w:t xml:space="preserve"> </w:t>
      </w:r>
    </w:p>
    <w:p>
      <w:pPr>
        <w:pStyle w:val="Normal"/>
        <w:spacing w:lineRule="auto" w:line="276" w:before="0" w:after="200"/>
        <w:contextualSpacing/>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76" w:before="0" w:after="200"/>
        <w:contextualSpacing/>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76"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t>A responsible employee for interaction with the public from «JV «</w:t>
      </w:r>
      <w:r>
        <w:rPr>
          <w:rFonts w:eastAsia="Calibri" w:cs="Times New Roman" w:ascii="Times New Roman" w:hAnsi="Times New Roman"/>
          <w:bCs/>
          <w:sz w:val="24"/>
          <w:szCs w:val="24"/>
          <w:lang w:val="en-US"/>
        </w:rPr>
        <w:t xml:space="preserve">SMCC» </w:t>
      </w:r>
      <w:r>
        <w:rPr>
          <w:rFonts w:eastAsia="Calibri" w:cs="Times New Roman" w:ascii="Times New Roman" w:hAnsi="Times New Roman"/>
          <w:bCs/>
          <w:sz w:val="24"/>
          <w:szCs w:val="24"/>
        </w:rPr>
        <w:t xml:space="preserve">LLP has been appointed in the Partnership: </w:t>
      </w:r>
      <w:bookmarkStart w:id="2" w:name="_Hlk184395898"/>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Deputy Head of the Legal Department </w:t>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Syzdyk </w:t>
      </w:r>
      <w:r>
        <w:rPr>
          <w:rFonts w:eastAsia="Calibri" w:cs="Times New Roman" w:ascii="Times New Roman" w:hAnsi="Times New Roman"/>
          <w:sz w:val="24"/>
          <w:szCs w:val="24"/>
          <w:lang w:val="en-US"/>
        </w:rPr>
        <w:t>Akhad</w:t>
      </w:r>
      <w:r>
        <w:rPr>
          <w:rFonts w:eastAsia="Calibri" w:cs="Times New Roman" w:ascii="Times New Roman" w:hAnsi="Times New Roman"/>
          <w:sz w:val="24"/>
          <w:szCs w:val="24"/>
        </w:rPr>
        <w:t xml:space="preserve"> Sagyndykuly </w:t>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0"/>
        <w:rPr>
          <w:rFonts w:ascii="Times New Roman" w:hAnsi="Times New Roman" w:eastAsia="Calibri" w:cs="Times New Roman"/>
          <w:sz w:val="24"/>
          <w:szCs w:val="24"/>
        </w:rPr>
      </w:pPr>
      <w:hyperlink r:id="rId36">
        <w:r>
          <w:rPr>
            <w:rFonts w:eastAsia="Calibri" w:cs="Times New Roman" w:ascii="Times New Roman" w:hAnsi="Times New Roman"/>
            <w:sz w:val="24"/>
            <w:szCs w:val="24"/>
            <w:u w:val="single"/>
            <w:lang w:val="en-US"/>
          </w:rPr>
          <w:t xml:space="preserve">Email address: </w:t>
        </w:r>
      </w:hyperlink>
      <w:hyperlink r:id="rId37">
        <w:r>
          <w:rPr>
            <w:rStyle w:val="Hyperlink"/>
            <w:rFonts w:eastAsia="Calibri" w:cs="Times New Roman" w:ascii="Times New Roman" w:hAnsi="Times New Roman"/>
            <w:sz w:val="24"/>
            <w:szCs w:val="24"/>
            <w:u w:val="single"/>
            <w:lang w:val="en-US"/>
          </w:rPr>
          <w:t>a.syzdyk@ughk.kazatomprom.</w:t>
        </w:r>
      </w:hyperlink>
      <w:r>
        <w:rPr>
          <w:rStyle w:val="Hyperlink"/>
          <w:rFonts w:eastAsia="Calibri" w:cs="Times New Roman" w:ascii="Times New Roman" w:hAnsi="Times New Roman"/>
          <w:sz w:val="24"/>
          <w:szCs w:val="24"/>
          <w:u w:val="single"/>
          <w:lang w:val="en-US"/>
        </w:rPr>
        <w:t>kz</w:t>
      </w:r>
      <w:hyperlink r:id="rId38">
        <w:r>
          <w:rPr>
            <w:rFonts w:eastAsia="Calibri" w:cs="Times New Roman" w:ascii="Times New Roman" w:hAnsi="Times New Roman"/>
            <w:sz w:val="24"/>
            <w:szCs w:val="24"/>
            <w:u w:val="single"/>
            <w:lang w:val="en-US"/>
          </w:rPr>
          <w:t xml:space="preserve"> </w:t>
        </w:r>
      </w:hyperlink>
      <w:r>
        <w:rPr>
          <w:rFonts w:eastAsia="Calibri" w:cs="Times New Roman" w:ascii="Times New Roman" w:hAnsi="Times New Roman"/>
          <w:sz w:val="24"/>
          <w:szCs w:val="24"/>
          <w:u w:val="single"/>
          <w:lang w:val="en-US"/>
        </w:rPr>
        <w:t xml:space="preserve">  </w:t>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0"/>
        <w:rPr>
          <w:rFonts w:ascii="Times New Roman" w:hAnsi="Times New Roman" w:eastAsia="Calibri" w:cs="Times New Roman"/>
          <w:sz w:val="24"/>
          <w:szCs w:val="24"/>
          <w:lang w:val="kk-KZ"/>
        </w:rPr>
      </w:pPr>
      <w:r>
        <w:rPr>
          <w:rFonts w:eastAsia="Calibri" w:cs="Times New Roman" w:ascii="Times New Roman" w:hAnsi="Times New Roman"/>
          <w:sz w:val="24"/>
          <w:szCs w:val="24"/>
        </w:rPr>
        <w:t xml:space="preserve">Phone: +7/7252/99-73-93 internal number. 45828 </w:t>
      </w:r>
    </w:p>
    <w:p>
      <w:pPr>
        <w:pStyle w:val="Normal"/>
        <w:spacing w:lineRule="auto" w:line="276" w:before="0" w:after="0"/>
        <w:rPr>
          <w:rFonts w:ascii="Times New Roman" w:hAnsi="Times New Roman" w:eastAsia="Calibri" w:cs="Times New Roman"/>
          <w:sz w:val="24"/>
          <w:szCs w:val="24"/>
          <w:lang w:val="kk-KZ"/>
        </w:rPr>
      </w:pPr>
      <w:r>
        <w:rPr>
          <w:rFonts w:eastAsia="Calibri" w:cs="Times New Roman" w:ascii="Times New Roman" w:hAnsi="Times New Roman"/>
          <w:sz w:val="24"/>
          <w:szCs w:val="24"/>
          <w:lang w:val="kk-KZ"/>
        </w:rPr>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Shymkent, Al-Farabi district, </w:t>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D. Kunaev Avenue, building 23A, index 160019 </w:t>
      </w:r>
    </w:p>
    <w:p>
      <w:pPr>
        <w:pStyle w:val="Normal"/>
        <w:spacing w:lineRule="auto" w:line="276"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0"/>
        <w:rPr>
          <w:rFonts w:ascii="Times New Roman" w:hAnsi="Times New Roman" w:eastAsia="Calibri" w:cs="Times New Roman"/>
          <w:sz w:val="24"/>
          <w:szCs w:val="24"/>
        </w:rPr>
      </w:pPr>
      <w:bookmarkEnd w:id="2"/>
      <w:r>
        <w:rPr>
          <w:rFonts w:eastAsia="Calibri" w:cs="Times New Roman" w:ascii="Times New Roman" w:hAnsi="Times New Roman"/>
          <w:sz w:val="24"/>
          <w:szCs w:val="24"/>
        </w:rPr>
        <w:t xml:space="preserve">You can submit your requests and suggestions to the above contacts! </w:t>
      </w:r>
    </w:p>
    <w:p>
      <w:pPr>
        <w:pStyle w:val="Normal"/>
        <w:spacing w:lineRule="auto" w:line="276" w:before="0" w:after="20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bidi w:val="0"/>
        <w:spacing w:lineRule="auto" w:line="259" w:before="0" w:after="160"/>
        <w:jc w:val="left"/>
        <w:rPr/>
      </w:pPr>
      <w:r>
        <w:rPr/>
      </w:r>
    </w:p>
    <w:sectPr>
      <w:type w:val="nextPage"/>
      <w:pgSz w:w="11906" w:h="16838"/>
      <w:pgMar w:left="1701" w:right="567"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Liberation Mono">
    <w:altName w:val="Courier New"/>
    <w:charset w:val="cc"/>
    <w:family w:val="roman"/>
    <w:pitch w:val="variable"/>
  </w:font>
  <w:font w:name="Times New Roman">
    <w:charset w:val="cc"/>
    <w:family w:val="roman"/>
    <w:pitch w:val="variable"/>
  </w:font>
  <w:font w:name="KZBookAntiqua">
    <w:charset w:val="cc"/>
    <w:family w:val="roman"/>
    <w:pitch w:val="variable"/>
  </w:font>
  <w:font w:name="Arial">
    <w:charset w:val="cc"/>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7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227534"/>
    <w:rPr>
      <w:color w:themeColor="hyperlink" w:val="0563C1"/>
      <w:u w:val="single"/>
    </w:rPr>
  </w:style>
  <w:style w:type="character" w:styleId="UnresolvedMention">
    <w:name w:val="Unresolved Mention"/>
    <w:basedOn w:val="DefaultParagraphFont"/>
    <w:uiPriority w:val="99"/>
    <w:semiHidden/>
    <w:unhideWhenUsed/>
    <w:qFormat/>
    <w:rsid w:val="00227534"/>
    <w:rPr>
      <w:color w:val="605E5C"/>
      <w:shd w:fill="E1DFDD" w:val="clear"/>
    </w:rPr>
  </w:style>
  <w:style w:type="character" w:styleId="Style14">
    <w:name w:val="Маркеры"/>
    <w:qFormat/>
    <w:rPr>
      <w:rFonts w:ascii="OpenSymbol" w:hAnsi="OpenSymbol" w:eastAsia="OpenSymbol" w:cs="OpenSymbol"/>
    </w:rPr>
  </w:style>
  <w:style w:type="character" w:styleId="Strong">
    <w:name w:val="Strong"/>
    <w:qFormat/>
    <w:rPr>
      <w:b/>
      <w:bCs/>
    </w:rPr>
  </w:style>
  <w:style w:type="paragraph" w:styleId="Style15">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6">
    <w:name w:val="Указатель"/>
    <w:basedOn w:val="Normal"/>
    <w:qFormat/>
    <w:pPr>
      <w:suppressLineNumbers/>
    </w:pPr>
    <w:rPr>
      <w:rFonts w:cs="Lucida Sans"/>
    </w:rPr>
  </w:style>
  <w:style w:type="paragraph" w:styleId="Style17">
    <w:name w:val="Текст в заданном формате"/>
    <w:basedOn w:val="Normal"/>
    <w:qFormat/>
    <w:pPr>
      <w:spacing w:before="0" w:after="0"/>
    </w:pPr>
    <w:rPr>
      <w:rFonts w:ascii="Liberation Mono" w:hAnsi="Liberation Mono" w:eastAsia="Liberation Mono" w:cs="Liberation Mono"/>
      <w:sz w:val="20"/>
      <w:szCs w:val="20"/>
    </w:rPr>
  </w:style>
  <w:style w:type="paragraph" w:styleId="Style18">
    <w:name w:val="Содержимое таблицы"/>
    <w:basedOn w:val="Normal"/>
    <w:qFormat/>
    <w:pPr>
      <w:widowControl w:val="false"/>
      <w:suppressLineNumbers/>
    </w:pPr>
    <w:rPr/>
  </w:style>
  <w:style w:type="paragraph" w:styleId="Style19">
    <w:name w:val="Заголовок таблицы"/>
    <w:basedOn w:val="Style18"/>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3">
    <w:name w:val="Table Grid"/>
    <w:basedOn w:val="a1"/>
    <w:uiPriority w:val="59"/>
    <w:unhideWhenUsed/>
    <w:rsid w:val="001579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
    <w:name w:val="Сетка таблицы1"/>
    <w:basedOn w:val="a1"/>
    <w:uiPriority w:val="59"/>
    <w:rsid w:val="00bd6ef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chart" Target="charts/chart1.xml"/><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hyperlink" Target="https://ru.wikipedia.org/wiki/Vulpes_corsac" TargetMode="External"/><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pn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pn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hyperlink" Target="https://ughk.kazatomprom.kz/ru" TargetMode="External"/><Relationship Id="rId36" Type="http://schemas.openxmlformats.org/officeDocument/2006/relationships/hyperlink" Target="mailto:a.syzdyk@ughk.kazatomprom.kz" TargetMode="External"/><Relationship Id="rId37" Type="http://schemas.openxmlformats.org/officeDocument/2006/relationships/hyperlink" Target="mailto:a.syzdyk@ughk.kazatomprom.kz" TargetMode="External"/><Relationship Id="rId38" Type="http://schemas.openxmlformats.org/officeDocument/2006/relationships/hyperlink" Target="mailto:a.syzdyk@ughk.kazatomprom.kz" TargetMode="Externa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layout>
        <c:manualLayout>
          <c:layoutTarget val="inner"/>
          <c:xMode val="edge"/>
          <c:yMode val="edge"/>
          <c:x val="0.181125"/>
          <c:y val="0.189333333333333"/>
          <c:w val="0.6403125"/>
          <c:h val="0.594444444444444"/>
        </c:manualLayout>
      </c:layout>
      <c:pie3DChart>
        <c:varyColors val="1"/>
        <c:ser>
          <c:idx val="0"/>
          <c:order val="0"/>
          <c:tx>
            <c:strRef>
              <c:f>label 0</c:f>
              <c:strCache>
                <c:ptCount val="1"/>
                <c:pt idx="0">
                  <c:v>Ряд1</c:v>
                </c:pt>
              </c:strCache>
            </c:strRef>
          </c:tx>
          <c:spPr>
            <a:solidFill>
              <a:srgbClr val="4472c4"/>
            </a:solidFill>
            <a:ln w="0">
              <a:noFill/>
            </a:ln>
          </c:spPr>
          <c:explosion val="0"/>
          <c:dPt>
            <c:idx val="0"/>
            <c:spPr>
              <a:solidFill>
                <a:srgbClr val="ffff00"/>
              </a:solidFill>
              <a:ln w="25560">
                <a:solidFill>
                  <a:srgbClr val="ffffff"/>
                </a:solidFill>
                <a:round/>
              </a:ln>
            </c:spPr>
          </c:dPt>
          <c:dPt>
            <c:idx val="1"/>
            <c:spPr>
              <a:solidFill>
                <a:srgbClr val="c00000"/>
              </a:solidFill>
              <a:ln w="25560">
                <a:solidFill>
                  <a:srgbClr val="ffffff"/>
                </a:solidFill>
                <a:round/>
              </a:ln>
            </c:spPr>
          </c:dPt>
          <c:dPt>
            <c:idx val="2"/>
            <c:spPr>
              <a:solidFill>
                <a:srgbClr val="a5a5a5"/>
              </a:solidFill>
              <a:ln w="25560">
                <a:solidFill>
                  <a:srgbClr val="ffffff"/>
                </a:solidFill>
                <a:round/>
              </a:ln>
            </c:spPr>
          </c:dPt>
          <c:dPt>
            <c:idx val="3"/>
            <c:spPr>
              <a:solidFill>
                <a:srgbClr val="92d050"/>
              </a:solidFill>
              <a:ln w="25560">
                <a:solidFill>
                  <a:srgbClr val="ffffff"/>
                </a:solidFill>
                <a:round/>
              </a:ln>
            </c:spPr>
          </c:dPt>
          <c:dPt>
            <c:idx val="4"/>
            <c:spPr>
              <a:solidFill>
                <a:srgbClr val="00b050"/>
              </a:solidFill>
              <a:ln w="25560">
                <a:solidFill>
                  <a:srgbClr val="ffffff"/>
                </a:solidFill>
                <a:round/>
              </a:ln>
            </c:spPr>
          </c:dPt>
          <c:dPt>
            <c:idx val="5"/>
            <c:spPr>
              <a:solidFill>
                <a:srgbClr val="2f5597"/>
              </a:solidFill>
              <a:ln w="25560">
                <a:solidFill>
                  <a:srgbClr val="ffffff"/>
                </a:solidFill>
                <a:round/>
              </a:ln>
            </c:spPr>
          </c:dPt>
          <c:dPt>
            <c:idx val="6"/>
            <c:spPr>
              <a:solidFill>
                <a:srgbClr val="c55a11"/>
              </a:solidFill>
              <a:ln w="25560">
                <a:solidFill>
                  <a:srgbClr val="ffffff"/>
                </a:solidFill>
                <a:round/>
              </a:ln>
            </c:spPr>
          </c:dPt>
          <c:dLbls>
            <c:dLbl>
              <c:idx val="0"/>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dLbl>
              <c:idx val="1"/>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dLbl>
              <c:idx val="2"/>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dLbl>
              <c:idx val="3"/>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dLbl>
              <c:idx val="4"/>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dLbl>
              <c:idx val="5"/>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dLbl>
              <c:idx val="6"/>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dLbl>
            <c:spPr>
              <a:solidFill>
                <a:srgbClr val="FFFFFF"/>
              </a:solidFill>
            </c:spPr>
            <c:txPr>
              <a:bodyPr wrap="square"/>
              <a:lstStyle/>
              <a:p>
                <a:pPr>
                  <a:defRPr b="0" sz="900" spc="-1" strike="noStrike">
                    <a:solidFill>
                      <a:srgbClr val="595959"/>
                    </a:solidFill>
                    <a:latin typeface="Calibri"/>
                  </a:defRPr>
                </a:pPr>
              </a:p>
            </c:txPr>
            <c:dLblPos val="outEnd"/>
            <c:showLegendKey val="0"/>
            <c:showVal val="0"/>
            <c:showCatName val="1"/>
            <c:showSerName val="0"/>
            <c:showPercent val="1"/>
            <c:separator>
</c:separator>
            <c:showLeaderLines val="0"/>
          </c:dLbls>
          <c:cat>
            <c:strRef>
              <c:f>categories</c:f>
              <c:strCache>
                <c:ptCount val="7"/>
                <c:pt idx="0">
                  <c:v>Земли сельскохозяйственного назначения</c:v>
                </c:pt>
                <c:pt idx="1">
                  <c:v>Земли населённых пунктов</c:v>
                </c:pt>
                <c:pt idx="2">
                  <c:v>Земли промышленности, транспорта, связи, обороны и иного несельскохозяйственного назначения</c:v>
                </c:pt>
                <c:pt idx="3">
                  <c:v>Земли особо охраняемых природных территорий</c:v>
                </c:pt>
                <c:pt idx="4">
                  <c:v>Земли лесного фонда</c:v>
                </c:pt>
                <c:pt idx="5">
                  <c:v>Земли водного фонда </c:v>
                </c:pt>
                <c:pt idx="6">
                  <c:v>Земли запаса</c:v>
                </c:pt>
              </c:strCache>
            </c:strRef>
          </c:cat>
          <c:val>
            <c:numRef>
              <c:f>0</c:f>
              <c:numCache>
                <c:formatCode>General</c:formatCode>
                <c:ptCount val="7"/>
                <c:pt idx="0">
                  <c:v>4475.7</c:v>
                </c:pt>
                <c:pt idx="1">
                  <c:v>799.4</c:v>
                </c:pt>
                <c:pt idx="2">
                  <c:v>108.6</c:v>
                </c:pt>
                <c:pt idx="3">
                  <c:v>430.5</c:v>
                </c:pt>
                <c:pt idx="4">
                  <c:v>3009.7</c:v>
                </c:pt>
                <c:pt idx="5">
                  <c:v>134.4</c:v>
                </c:pt>
                <c:pt idx="6">
                  <c:v>2652</c:v>
                </c:pt>
              </c:numCache>
            </c:numRef>
          </c:val>
        </c:ser>
      </c:pie3DChart>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627</TotalTime>
  <Application>EasyOffice/7.6.2.1.0$Windows_X86_64 LibreOffice_project/0bc4d647150f05f02b71ccb5539a4012b57f1faf</Application>
  <AppVersion>15.0000</AppVersion>
  <Pages>17</Pages>
  <Words>2156</Words>
  <Characters>12251</Characters>
  <CharactersWithSpaces>14478</CharactersWithSpaces>
  <Paragraphs>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2024-12-05T10:21:00Z</dcterms:created>
  <dc:creator>Агапов Олесь</dc:creator>
  <dc:description/>
  <dc:language>ru-RU</dc:language>
  <cp:lastModifiedBy/>
  <dcterms:modified xsi:type="dcterms:W3CDTF">2025-08-04T11:14:29Z</dcterms:modified>
  <cp:revision>87</cp:revision>
  <dc:subject/>
  <dc:title/>
</cp:coreProperties>
</file>

<file path=docProps/custom.xml><?xml version="1.0" encoding="utf-8"?>
<Properties xmlns="http://schemas.openxmlformats.org/officeDocument/2006/custom-properties" xmlns:vt="http://schemas.openxmlformats.org/officeDocument/2006/docPropsVTypes"/>
</file>